
<file path=[Content_Types].xml><?xml version="1.0" encoding="utf-8"?>
<Types xmlns="http://schemas.openxmlformats.org/package/2006/content-types">
  <Default Extension="xml" ContentType="application/xml"/>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jc w:val="center"/>
        <w:rPr>
          <w:rFonts w:ascii="TimesNewRomanPS-BoldMT" w:cs="TimesNewRomanPS-BoldMT"/>
          <w:b/>
          <w:bCs/>
          <w:sz w:val="52"/>
          <w:szCs w:val="52"/>
        </w:rPr>
      </w:pPr>
      <w:r>
        <w:rPr>
          <w:rFonts w:ascii="TimesNewRomanPS-BoldMT" w:cs="TimesNewRomanPS-BoldMT"/>
          <w:b/>
          <w:bCs/>
          <w:sz w:val="52"/>
          <w:szCs w:val="52"/>
        </w:rPr>
        <w:t xml:space="preserve">중국의 에너지 전환</w:t>
      </w:r>
    </w:p>
    <w:p>
      <w:pPr>
        <w:rPr>
          <w:rFonts w:hint="eastAsia"/>
        </w:rPr>
      </w:pPr>
    </w:p>
    <w:p>
      <w:pPr>
        <w:rPr>
          <w:rFonts w:hint="eastAsia"/>
        </w:rPr>
      </w:pPr>
    </w:p>
    <w:p>
      <w:pPr>
        <w:widowControl/>
        <w:autoSpaceDE w:val="0"/>
        <w:autoSpaceDN w:val="0"/>
        <w:adjustRightInd w:val="0"/>
        <w:spacing w:after="227" w:line="288" w:lineRule="auto"/>
        <w:jc w:val="center"/>
        <w:textAlignment w:val="center"/>
        <w:rPr>
          <w:rFonts w:ascii="ArialMT" w:hAnsi="ArialMT" w:eastAsia="STXihei" w:cs="ArialMT"/>
          <w:color w:val="000000"/>
          <w:kern w:val="0"/>
          <w:sz w:val="30"/>
          <w:szCs w:val="30"/>
          <w:lang w:val="zh-CN"/>
        </w:rPr>
      </w:pPr>
      <w:r>
        <w:rPr>
          <w:rFonts w:ascii="ArialMT" w:hAnsi="ArialMT" w:eastAsia="STXihei" w:cs="ArialMT"/>
          <w:color w:val="000000"/>
          <w:kern w:val="0"/>
          <w:sz w:val="30"/>
          <w:szCs w:val="30"/>
          <w:lang w:val="zh-CN"/>
        </w:rPr>
        <w:t xml:space="preserve">중화인민공화국 국무원 정보판공실 </w:t>
      </w:r>
      <w:r>
        <w:rPr>
          <w:rFonts w:ascii="ArialMT" w:hAnsi="ArialMT" w:eastAsia="STXihei" w:cs="ArialMT"/>
          <w:color w:val="000000"/>
          <w:kern w:val="0"/>
          <w:sz w:val="30"/>
          <w:szCs w:val="30"/>
          <w:lang w:val="zh-CN"/>
        </w:rPr>
        <w:br w:type="textWrapping"/>
      </w:r>
      <w:r>
        <w:rPr>
          <w:rFonts w:ascii="ArialMT" w:hAnsi="ArialMT" w:eastAsia="STXihei" w:cs="ArialMT"/>
          <w:color w:val="000000"/>
          <w:kern w:val="0"/>
          <w:sz w:val="30"/>
          <w:szCs w:val="30"/>
          <w:lang w:val="zh-CN"/>
        </w:rPr>
        <w:t xml:space="preserve">중화 인민 공화국</w:t>
      </w:r>
    </w:p>
    <w:p>
      <w:pPr>
        <w:widowControl/>
        <w:autoSpaceDE w:val="0"/>
        <w:autoSpaceDN w:val="0"/>
        <w:adjustRightInd w:val="0"/>
        <w:spacing w:line="288" w:lineRule="auto"/>
        <w:jc w:val="center"/>
        <w:textAlignment w:val="center"/>
        <w:rPr>
          <w:rFonts w:ascii="TimesNewRomanPSMT" w:hAnsi="TimesNewRomanPSMT" w:eastAsia="STXihei" w:cs="TimesNewRomanPSMT"/>
          <w:color w:val="000000"/>
          <w:kern w:val="0"/>
          <w:sz w:val="30"/>
          <w:szCs w:val="30"/>
          <w:lang w:val="zh-CN"/>
        </w:rPr>
      </w:pPr>
      <w:r>
        <w:rPr>
          <w:rFonts w:ascii="TimesNewRomanPSMT" w:hAnsi="TimesNewRomanPSMT" w:eastAsia="STXihei" w:cs="TimesNewRomanPSMT"/>
          <w:color w:val="000000"/>
          <w:kern w:val="0"/>
          <w:sz w:val="30"/>
          <w:szCs w:val="30"/>
          <w:lang w:val="zh-CN"/>
        </w:rPr>
        <w:t xml:space="preserve">2024년 8월</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6"/>
        <w:tabs>
          <w:tab w:val="left" w:pos="288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 xml:space="preserve">2024년 초판</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ItalicMT" w:hAnsi="TimesNewRomanPS-ItalicMT" w:cs="TimesNewRomanPS-ItalicMT"/>
          <w:i/>
          <w:iCs/>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 xml:space="preserve">ISBN 978-7-119-14016-2</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 xml:space="preserve">© Foreign Languages Press Co. Ltd, 베이징, 중국, 2024</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 xml:space="preserve">외국어 출판 Co. Ltd</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 xml:space="preserve">24 바이완좡 로드, 베이징, 100037, 중국</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 xml:space="preserve">중국 국제 도서 무역 회사에서 배포</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 xml:space="preserve">35 Chegongzhuang Xilu, 베이징, 100044, 중국</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 xml:space="preserve">P.O. Box 399, 베이징, 중국</w:t>
      </w:r>
    </w:p>
    <w:p>
      <w:pPr>
        <w:jc w:val="center"/>
        <w:rPr>
          <w:rFonts w:hint="eastAsia" w:ascii="TimesNewRomanPS-ItalicMT" w:hAnsi="TimesNewRomanPS-ItalicMT" w:cs="TimesNewRomanPS-ItalicMT"/>
          <w:i/>
          <w:iCs/>
          <w:sz w:val="26"/>
          <w:szCs w:val="26"/>
          <w:lang w:val="en-GB"/>
        </w:rPr>
      </w:pPr>
      <w:r>
        <w:rPr>
          <w:rFonts w:ascii="TimesNewRomanPS-ItalicMT" w:hAnsi="TimesNewRomanPS-ItalicMT" w:cs="TimesNewRomanPS-ItalicMT"/>
          <w:i/>
          <w:iCs/>
          <w:sz w:val="26"/>
          <w:szCs w:val="26"/>
          <w:lang w:val="en-GB"/>
        </w:rPr>
        <w:t xml:space="preserve">중화 인민 공화국에서 인쇄됨</w:t>
      </w: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rPr>
      </w:pPr>
    </w:p>
    <w:p>
      <w:pPr>
        <w:rPr>
          <w:rFonts w:hint="eastAsia"/>
        </w:rPr>
      </w:pPr>
    </w:p>
    <w:p>
      <w:pPr>
        <w:keepNext/>
        <w:widowControl/>
        <w:tabs>
          <w:tab w:val="right" w:pos="7640"/>
        </w:tabs>
        <w:suppressAutoHyphens/>
        <w:autoSpaceDE w:val="0"/>
        <w:autoSpaceDN w:val="0"/>
        <w:adjustRightInd w:val="0"/>
        <w:spacing w:after="113" w:line="360" w:lineRule="auto"/>
        <w:jc w:val="center"/>
        <w:textAlignment w:val="center"/>
        <w:rPr>
          <w:rFonts w:ascii="TimesNewRomanPS-BoldMT" w:hAnsi="TimesNewRomanPS-BoldMT" w:eastAsia="STXihei" w:cs="TimesNewRomanPS-BoldMT"/>
          <w:b/>
          <w:bCs/>
          <w:color w:val="000000"/>
          <w:kern w:val="0"/>
          <w:sz w:val="20"/>
          <w:szCs w:val="20"/>
          <w:lang w:val="de-DE"/>
        </w:rPr>
      </w:pPr>
      <w:r>
        <w:rPr>
          <w:rFonts w:ascii="TimesNewRomanPS-BoldMT" w:hAnsi="TimesNewRomanPS-BoldMT" w:eastAsia="STXihei" w:cs="TimesNewRomanPS-BoldMT"/>
          <w:b/>
          <w:bCs/>
          <w:color w:val="000000"/>
          <w:kern w:val="0"/>
          <w:sz w:val="38"/>
          <w:szCs w:val="38"/>
          <w:lang w:val="de-DE"/>
        </w:rPr>
        <w:t xml:space="preserve">콘텐츠</w:t>
      </w:r>
    </w:p>
    <w:p>
      <w:pPr>
        <w:widowControl/>
        <w:tabs>
          <w:tab w:val="right" w:pos="360"/>
          <w:tab w:val="left" w:pos="420"/>
          <w:tab w:val="right" w:pos="7640"/>
        </w:tabs>
        <w:suppressAutoHyphens/>
        <w:autoSpaceDE w:val="0"/>
        <w:autoSpaceDN w:val="0"/>
        <w:adjustRightInd w:val="0"/>
        <w:spacing w:after="283" w:line="360" w:lineRule="auto"/>
        <w:jc w:val="left"/>
        <w:textAlignment w:val="center"/>
        <w:rPr>
          <w:rFonts w:ascii="TimesNewRomanPS-BoldMT" w:hAnsi="TimesNewRomanPS-BoldMT" w:eastAsia="STXihei" w:cs="TimesNewRomanPS-BoldMT"/>
          <w:b/>
          <w:bCs/>
          <w:color w:val="000000"/>
          <w:kern w:val="0"/>
          <w:sz w:val="26"/>
          <w:szCs w:val="26"/>
          <w:lang w:val="en-GB"/>
        </w:rPr>
      </w:pP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STXihei" w:cs="TimesNewRomanPSMT"/>
          <w:color w:val="000000"/>
          <w:kern w:val="0"/>
          <w:sz w:val="26"/>
          <w:szCs w:val="26"/>
          <w:lang w:val="en-GB"/>
        </w:rPr>
      </w:pPr>
      <w:r>
        <w:rPr>
          <w:rFonts w:ascii="TimesNewRomanPSMT" w:hAnsi="TimesNewRomanPSMT" w:eastAsia="STXihei" w:cs="TimesNewRomanPSMT"/>
          <w:color w:val="000000"/>
          <w:kern w:val="0"/>
          <w:sz w:val="26"/>
          <w:szCs w:val="26"/>
          <w:lang w:val="en-GB"/>
        </w:rPr>
        <w:t xml:space="preserve">서문</w:t>
      </w:r>
      <w:r>
        <w:rPr>
          <w:rFonts w:ascii="TimesNewRomanPSMT" w:hAnsi="TimesNewRomanPSMT" w:eastAsia="STXihei"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STXihei" w:cs="TimesNewRomanPSMT"/>
          <w:color w:val="000000"/>
          <w:kern w:val="0"/>
          <w:sz w:val="26"/>
          <w:szCs w:val="26"/>
          <w:lang w:val="en-GB"/>
        </w:rPr>
      </w:pP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 xml:space="preserve">I.</w:t>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 xml:space="preserve">새로운 시대, 중국의 에너지 전환의 길</w:t>
      </w:r>
      <w:r>
        <w:rPr>
          <w:rFonts w:ascii="TimesNewRomanPSMT" w:hAnsi="TimesNewRomanPSMT" w:eastAsia="STXihei"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STXihei" w:cs="TimesNewRomanPSMT"/>
          <w:color w:val="000000"/>
          <w:kern w:val="0"/>
          <w:sz w:val="26"/>
          <w:szCs w:val="26"/>
          <w:lang w:val="en-GB"/>
        </w:rPr>
      </w:pP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 xml:space="preserve">II.</w:t>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 xml:space="preserve">친환경 에너지 소비 촉진</w:t>
      </w:r>
      <w:r>
        <w:rPr>
          <w:rFonts w:ascii="TimesNewRomanPSMT" w:hAnsi="TimesNewRomanPSMT" w:eastAsia="STXihei"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STXihei" w:cs="TimesNewRomanPSMT"/>
          <w:color w:val="000000"/>
          <w:kern w:val="0"/>
          <w:sz w:val="26"/>
          <w:szCs w:val="26"/>
          <w:lang w:val="en-GB"/>
        </w:rPr>
      </w:pP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 xml:space="preserve">III.</w:t>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 xml:space="preserve">새로운 에너지 공급 시스템 구축을 위한 빠른 움직임</w:t>
      </w:r>
      <w:r>
        <w:rPr>
          <w:rFonts w:ascii="TimesNewRomanPSMT" w:hAnsi="TimesNewRomanPSMT" w:eastAsia="STXihei"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STXihei" w:cs="TimesNewRomanPSMT"/>
          <w:color w:val="000000"/>
          <w:kern w:val="0"/>
          <w:sz w:val="26"/>
          <w:szCs w:val="26"/>
          <w:lang w:val="en-GB"/>
        </w:rPr>
      </w:pP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 xml:space="preserve">IV.</w:t>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 xml:space="preserve">에너지 부문에서 새로운 양질의 생산력 </w:t>
      </w:r>
      <w:r>
        <w:rPr>
          <w:rFonts w:ascii="TimesNewRomanPSMT" w:hAnsi="TimesNewRomanPSMT" w:eastAsia="STXihei" w:cs="TimesNewRomanPSMT"/>
          <w:color w:val="000000"/>
          <w:kern w:val="0"/>
          <w:sz w:val="26"/>
          <w:szCs w:val="26"/>
          <w:lang w:val="en-GB"/>
        </w:rPr>
        <w:t xml:space="preserve">개발 g</w:t>
      </w:r>
      <w:bookmarkStart w:name="_GoBack" w:id="0"/>
      <w:bookmarkEnd w:id="0"/>
      <w:r>
        <w:rPr>
          <w:rFonts w:ascii="TimesNewRomanPSMT" w:hAnsi="TimesNewRomanPSMT" w:eastAsia="STXihei"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STXihei" w:cs="TimesNewRomanPSMT"/>
          <w:color w:val="000000"/>
          <w:kern w:val="0"/>
          <w:sz w:val="26"/>
          <w:szCs w:val="26"/>
          <w:lang w:val="en-GB"/>
        </w:rPr>
      </w:pP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 xml:space="preserve">V.</w:t>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 xml:space="preserve">에너지 거버넌스 현대화</w:t>
      </w:r>
      <w:r>
        <w:rPr>
          <w:rFonts w:ascii="TimesNewRomanPSMT" w:hAnsi="TimesNewRomanPSMT" w:eastAsia="STXihei"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STXihei" w:cs="TimesNewRomanPSMT"/>
          <w:color w:val="000000"/>
          <w:kern w:val="0"/>
          <w:sz w:val="26"/>
          <w:szCs w:val="26"/>
          <w:lang w:val="en-GB"/>
        </w:rPr>
      </w:pP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 xml:space="preserve">VI.</w:t>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 xml:space="preserve">미래를 공유하는 글로벌 커뮤니티에 기여하기 </w:t>
      </w:r>
      <w:r>
        <w:rPr>
          <w:rFonts w:ascii="TimesNewRomanPSMT" w:hAnsi="TimesNewRomanPSMT" w:eastAsia="STXihei" w:cs="TimesNewRomanPSMT"/>
          <w:color w:val="000000"/>
          <w:kern w:val="0"/>
          <w:sz w:val="26"/>
          <w:szCs w:val="26"/>
          <w:lang w:val="en-GB"/>
        </w:rPr>
        <w:tab/>
      </w:r>
    </w:p>
    <w:p>
      <w:pPr>
        <w:rPr>
          <w:rFonts w:hint="eastAsia" w:ascii="TimesNewRomanPSMT" w:hAnsi="TimesNewRomanPSMT" w:eastAsia="STXihei" w:cs="TimesNewRomanPSMT"/>
          <w:color w:val="000000"/>
          <w:kern w:val="0"/>
          <w:sz w:val="26"/>
          <w:szCs w:val="26"/>
          <w:lang w:val="en-GB"/>
        </w:rPr>
      </w:pPr>
      <w:r>
        <w:rPr>
          <w:rFonts w:ascii="TimesNewRomanPSMT" w:hAnsi="TimesNewRomanPSMT" w:eastAsia="STXihei" w:cs="TimesNewRomanPSMT"/>
          <w:color w:val="000000"/>
          <w:kern w:val="0"/>
          <w:sz w:val="26"/>
          <w:szCs w:val="26"/>
          <w:lang w:val="en-GB"/>
        </w:rPr>
        <w:t xml:space="preserve">결론</w:t>
      </w:r>
      <w:r>
        <w:rPr>
          <w:rFonts w:ascii="TimesNewRomanPSMT" w:hAnsi="TimesNewRomanPSMT" w:eastAsia="STXihei" w:cs="TimesNewRomanPSMT"/>
          <w:color w:val="000000"/>
          <w:kern w:val="0"/>
          <w:sz w:val="26"/>
          <w:szCs w:val="26"/>
          <w:lang w:val="en-GB"/>
        </w:rPr>
        <w:tab/>
      </w:r>
    </w:p>
    <w:p>
      <w:pPr>
        <w:rPr>
          <w:rFonts w:hint="eastAsia" w:ascii="TimesNewRomanPSMT" w:hAnsi="TimesNewRomanPSMT" w:eastAsia="STXihei" w:cs="TimesNewRomanPSMT"/>
          <w:color w:val="000000"/>
          <w:kern w:val="0"/>
          <w:sz w:val="26"/>
          <w:szCs w:val="26"/>
          <w:lang w:val="en-GB"/>
        </w:rPr>
      </w:pPr>
    </w:p>
    <w:p>
      <w:pPr>
        <w:rPr>
          <w:rFonts w:hint="eastAsia" w:ascii="TimesNewRomanPSMT" w:hAnsi="TimesNewRomanPSMT" w:eastAsia="STXihei" w:cs="TimesNewRomanPSMT"/>
          <w:color w:val="000000"/>
          <w:kern w:val="0"/>
          <w:sz w:val="26"/>
          <w:szCs w:val="26"/>
          <w:lang w:val="en-GB"/>
        </w:rPr>
      </w:pPr>
    </w:p>
    <w:p>
      <w:pPr>
        <w:rPr>
          <w:rFonts w:hint="eastAsia" w:ascii="TimesNewRomanPSMT" w:hAnsi="TimesNewRomanPSMT" w:eastAsia="STXihei" w:cs="TimesNewRomanPSMT"/>
          <w:color w:val="000000"/>
          <w:kern w:val="0"/>
          <w:sz w:val="26"/>
          <w:szCs w:val="26"/>
          <w:lang w:val="en-GB"/>
        </w:rPr>
      </w:pPr>
    </w:p>
    <w:p>
      <w:pPr>
        <w:rPr>
          <w:rFonts w:hint="eastAsia" w:ascii="TimesNewRomanPSMT" w:hAnsi="TimesNewRomanPSMT" w:eastAsia="STXihei" w:cs="TimesNewRomanPSMT"/>
          <w:color w:val="000000"/>
          <w:kern w:val="0"/>
          <w:sz w:val="26"/>
          <w:szCs w:val="26"/>
          <w:lang w:val="en-GB"/>
        </w:rPr>
      </w:pPr>
    </w:p>
    <w:p>
      <w:pPr>
        <w:rPr>
          <w:rFonts w:hint="eastAsia" w:ascii="TimesNewRomanPSMT" w:hAnsi="TimesNewRomanPSMT" w:eastAsia="STXihei" w:cs="TimesNewRomanPSMT"/>
          <w:color w:val="000000"/>
          <w:kern w:val="0"/>
          <w:sz w:val="26"/>
          <w:szCs w:val="26"/>
          <w:lang w:val="en-GB"/>
        </w:rPr>
      </w:pPr>
    </w:p>
    <w:p>
      <w:pPr>
        <w:rPr>
          <w:rFonts w:hint="eastAsia" w:ascii="TimesNewRomanPSMT" w:hAnsi="TimesNewRomanPSMT" w:eastAsia="STXihei" w:cs="TimesNewRomanPSMT"/>
          <w:color w:val="000000"/>
          <w:kern w:val="0"/>
          <w:sz w:val="26"/>
          <w:szCs w:val="26"/>
          <w:lang w:val="en-GB"/>
        </w:rPr>
      </w:pPr>
    </w:p>
    <w:p>
      <w:pPr>
        <w:rPr>
          <w:rFonts w:hint="eastAsia" w:ascii="TimesNewRomanPSMT" w:hAnsi="TimesNewRomanPSMT" w:eastAsia="STXihei" w:cs="TimesNewRomanPSMT"/>
          <w:color w:val="000000"/>
          <w:kern w:val="0"/>
          <w:sz w:val="26"/>
          <w:szCs w:val="26"/>
          <w:lang w:val="en-GB"/>
        </w:rPr>
      </w:pPr>
    </w:p>
    <w:p>
      <w:pPr>
        <w:rPr>
          <w:rFonts w:hint="eastAsia" w:ascii="TimesNewRomanPSMT" w:hAnsi="TimesNewRomanPSMT" w:eastAsia="STXihei" w:cs="TimesNewRomanPSMT"/>
          <w:color w:val="000000"/>
          <w:kern w:val="0"/>
          <w:sz w:val="26"/>
          <w:szCs w:val="26"/>
          <w:lang w:val="en-GB"/>
        </w:rPr>
      </w:pPr>
    </w:p>
    <w:p>
      <w:pPr>
        <w:rPr>
          <w:rFonts w:hint="eastAsia" w:ascii="TimesNewRomanPSMT" w:hAnsi="TimesNewRomanPSMT" w:eastAsia="STXihei" w:cs="TimesNewRomanPSMT"/>
          <w:color w:val="000000"/>
          <w:kern w:val="0"/>
          <w:sz w:val="26"/>
          <w:szCs w:val="26"/>
          <w:lang w:val="en-GB"/>
        </w:rPr>
      </w:pPr>
    </w:p>
    <w:p>
      <w:pPr>
        <w:rPr>
          <w:rFonts w:hint="eastAsia" w:ascii="TimesNewRomanPSMT" w:hAnsi="TimesNewRomanPSMT" w:eastAsia="STXihei" w:cs="TimesNewRomanPSMT"/>
          <w:color w:val="000000"/>
          <w:kern w:val="0"/>
          <w:sz w:val="26"/>
          <w:szCs w:val="26"/>
          <w:lang w:val="en-GB"/>
        </w:rPr>
      </w:pPr>
    </w:p>
    <w:p>
      <w:pPr>
        <w:rPr>
          <w:rFonts w:hint="eastAsia" w:ascii="TimesNewRomanPSMT" w:hAnsi="TimesNewRomanPSMT" w:eastAsia="STXihei" w:cs="TimesNewRomanPSMT"/>
          <w:color w:val="000000"/>
          <w:kern w:val="0"/>
          <w:sz w:val="26"/>
          <w:szCs w:val="26"/>
          <w:lang w:val="en-GB"/>
        </w:rPr>
      </w:pPr>
    </w:p>
    <w:p>
      <w:pPr>
        <w:rPr>
          <w:rFonts w:hint="eastAsia" w:ascii="TimesNewRomanPSMT" w:hAnsi="TimesNewRomanPSMT" w:eastAsia="STXihei" w:cs="TimesNewRomanPSMT"/>
          <w:color w:val="000000"/>
          <w:kern w:val="0"/>
          <w:sz w:val="26"/>
          <w:szCs w:val="26"/>
          <w:lang w:val="en-GB"/>
        </w:rPr>
      </w:pPr>
    </w:p>
    <w:p>
      <w:pPr>
        <w:rPr>
          <w:rFonts w:hint="eastAsia" w:ascii="TimesNewRomanPSMT" w:hAnsi="TimesNewRomanPSMT" w:eastAsia="STXihei" w:cs="TimesNewRomanPSMT"/>
          <w:color w:val="000000"/>
          <w:kern w:val="0"/>
          <w:sz w:val="26"/>
          <w:szCs w:val="26"/>
          <w:lang w:val="en-GB"/>
        </w:rPr>
      </w:pPr>
    </w:p>
    <w:p>
      <w:pPr>
        <w:rPr>
          <w:rFonts w:hint="eastAsia" w:ascii="TimesNewRomanPSMT" w:hAnsi="TimesNewRomanPSMT" w:eastAsia="STXihei" w:cs="TimesNewRomanPSMT"/>
          <w:color w:val="000000"/>
          <w:kern w:val="0"/>
          <w:sz w:val="26"/>
          <w:szCs w:val="26"/>
          <w:lang w:val="en-GB"/>
        </w:rPr>
      </w:pPr>
    </w:p>
    <w:p>
      <w:pPr>
        <w:rPr>
          <w:rFonts w:hint="eastAsia" w:ascii="TimesNewRomanPSMT" w:hAnsi="TimesNewRomanPSMT" w:eastAsia="STXihei" w:cs="TimesNewRomanPSMT"/>
          <w:color w:val="000000"/>
          <w:kern w:val="0"/>
          <w:sz w:val="26"/>
          <w:szCs w:val="26"/>
          <w:lang w:val="en-GB"/>
        </w:rPr>
      </w:pPr>
    </w:p>
    <w:p>
      <w:pPr>
        <w:rPr>
          <w:rFonts w:hint="eastAsia" w:ascii="TimesNewRomanPSMT" w:hAnsi="TimesNewRomanPSMT" w:eastAsia="STXihei" w:cs="TimesNewRomanPSMT"/>
          <w:color w:val="000000"/>
          <w:kern w:val="0"/>
          <w:sz w:val="26"/>
          <w:szCs w:val="26"/>
          <w:lang w:val="en-GB"/>
        </w:rPr>
      </w:pPr>
    </w:p>
    <w:p>
      <w:pPr>
        <w:rPr>
          <w:rFonts w:hint="eastAsia" w:ascii="TimesNewRomanPSMT" w:hAnsi="TimesNewRomanPSMT" w:eastAsia="STXihei" w:cs="TimesNewRomanPSMT"/>
          <w:color w:val="000000"/>
          <w:kern w:val="0"/>
          <w:sz w:val="26"/>
          <w:szCs w:val="26"/>
          <w:lang w:val="en-GB"/>
        </w:rPr>
      </w:pPr>
    </w:p>
    <w:p>
      <w:pPr>
        <w:rPr>
          <w:rFonts w:hint="eastAsia" w:ascii="TimesNewRomanPSMT" w:hAnsi="TimesNewRomanPSMT" w:eastAsia="STXihei" w:cs="TimesNewRomanPSMT"/>
          <w:color w:val="000000"/>
          <w:kern w:val="0"/>
          <w:sz w:val="26"/>
          <w:szCs w:val="26"/>
          <w:lang w:val="en-GB"/>
        </w:rPr>
      </w:pPr>
    </w:p>
    <w:p>
      <w:pPr>
        <w:rPr>
          <w:rFonts w:hint="eastAsia" w:ascii="TimesNewRomanPSMT" w:hAnsi="TimesNewRomanPSMT" w:eastAsia="STXihei" w:cs="TimesNewRomanPSMT"/>
          <w:color w:val="000000"/>
          <w:kern w:val="0"/>
          <w:sz w:val="26"/>
          <w:szCs w:val="26"/>
          <w:lang w:val="en-GB"/>
        </w:rPr>
      </w:pPr>
    </w:p>
    <w:p>
      <w:pPr>
        <w:rPr>
          <w:rFonts w:hint="eastAsia" w:ascii="TimesNewRomanPSMT" w:hAnsi="TimesNewRomanPSMT" w:eastAsia="STXihei" w:cs="TimesNewRomanPSMT"/>
          <w:color w:val="000000"/>
          <w:kern w:val="0"/>
          <w:sz w:val="26"/>
          <w:szCs w:val="26"/>
          <w:lang w:val="en-GB"/>
        </w:rPr>
      </w:pPr>
    </w:p>
    <w:p>
      <w:pPr>
        <w:rPr>
          <w:rFonts w:hint="eastAsia" w:ascii="TimesNewRomanPSMT" w:hAnsi="TimesNewRomanPSMT" w:eastAsia="STXihei" w:cs="TimesNewRomanPSMT"/>
          <w:color w:val="000000"/>
          <w:kern w:val="0"/>
          <w:sz w:val="26"/>
          <w:szCs w:val="26"/>
          <w:lang w:val="en-GB"/>
        </w:rPr>
      </w:pPr>
    </w:p>
    <w:p>
      <w:pPr>
        <w:rPr>
          <w:rFonts w:hint="eastAsia" w:ascii="TimesNewRomanPSMT" w:hAnsi="TimesNewRomanPSMT" w:eastAsia="STXihei" w:cs="TimesNewRomanPSMT"/>
          <w:color w:val="000000"/>
          <w:kern w:val="0"/>
          <w:sz w:val="26"/>
          <w:szCs w:val="26"/>
          <w:lang w:val="en-GB"/>
        </w:rPr>
      </w:pPr>
    </w:p>
    <w:p>
      <w:pPr>
        <w:rPr>
          <w:rFonts w:hint="eastAsia" w:ascii="TimesNewRomanPSMT" w:hAnsi="TimesNewRomanPSMT" w:eastAsia="STXihei" w:cs="TimesNewRomanPSMT"/>
          <w:color w:val="000000"/>
          <w:kern w:val="0"/>
          <w:sz w:val="26"/>
          <w:szCs w:val="26"/>
          <w:lang w:val="en-GB"/>
        </w:rPr>
      </w:pPr>
    </w:p>
    <w:p>
      <w:pPr>
        <w:pStyle w:val="7"/>
      </w:pPr>
      <w:r>
        <w:t xml:space="preserve">서문</w:t>
      </w:r>
    </w:p>
    <w:p>
      <w:pPr>
        <w:pStyle w:val="8"/>
      </w:pPr>
      <w:r>
        <w:t xml:space="preserve">에너지는 인류의 생존과 발전에 필수적인 요소이며, 저탄소 에너지 개발 방식은 인류의 미래에 매우 중요한 의미를 지닐 것입니다. 1차 산업혁명 이후 화석 연료의 광범위한 사용은 인류의 발전을 촉진했지만 자원 고갈, 기후 변화, 지정학적 긴장과 같은 주요 문제도 야기했습니다. 그 결과, 국제 사회는 사람들의 복지를 증진하고 장기적인 경제 성장을 촉진하기 위해 재생 에너지원으로 전환하고 지속 가능한 방식으로 에너지를 사용하는 것이 중요하다는 점을 널리 인식하고 있습니다. </w:t>
      </w:r>
    </w:p>
    <w:p>
      <w:pPr>
        <w:pStyle w:val="8"/>
      </w:pPr>
      <w:r>
        <w:t xml:space="preserve">1949년 중화인민공화국 건국 이후 지난 75년 동안 중국은 에너지 부문에서 급속한 성장을 이루며 세계 최대 에너지 생산국이자 소비국으로 부상했습니다. 2012년 제18차 중국 공산당 전국대표대회 이후 중국의 에너지 부문은 질적 발전 단계에 접어들었습니다. 2014년 시진핑 주석은 소비, 공급, 기술, 제도를 혁신하고 전방위적인 국제 협력을 강화하는 것을 목표로 하는 새로운 에너지 안보 전략을 제안했습니다. 이 전략은 새로운 시대에 중국의 에너지 개발을 위한 기본 원칙을 제시하고 방향을 제시했습니다. 이 전략에 따라 중국은 자국의 실정에 적합하고 세계 발전의 일반적인 추세를 따르며 변화하는 시대적 요구를 충족하는 에너지 전환의 길을 추구하고 있습니다. </w:t>
      </w:r>
    </w:p>
    <w:p>
      <w:pPr>
        <w:pStyle w:val="8"/>
      </w:pPr>
      <w:r>
        <w:t xml:space="preserve">중국의 에너지 전환은 고품질 개발을 바탕으로 깨끗하고 저탄소이며 안전하고 효율적인 에너지 시스템을 구축하는 것을 목표로 합니다. 이 이니셔티브는 중국의 경제 및 사회 발전을 강력하게 보장하고 더 나은 삶에 대한 국민의 증가하는 열망을 충족시킬 것입니다. </w:t>
      </w:r>
    </w:p>
    <w:p>
      <w:pPr>
        <w:pStyle w:val="8"/>
      </w:pPr>
      <w:r>
        <w:t xml:space="preserve">생태 환경적 발전을 위해 중국의 에너지 전환은 경제적이고 효율적이며 친환경적이고 포용적인 새로운 에너지 소비 모델을 개발하는 데 박차를 가하고 있습니다. 이를 통해 탄소 배출량 감축, 오염 감소, 친환경 개발 확대, 경제 성장 촉진이라는 시너지 효과를 창출하여 인류와 자연의 조화를 이루는 궁극적인 목표를 달성할 수 있을 것입니다. </w:t>
      </w:r>
    </w:p>
    <w:p>
      <w:pPr>
        <w:pStyle w:val="8"/>
      </w:pPr>
      <w:r>
        <w:t xml:space="preserve">중국은 미래를 공유하는 글로벌 커뮤니티라는 비전에 따라 친환경 에너지 분야의 국제 협력을 강화하여 에너지 전환을 진전시키기 위해 노력하고 있습니다. 글로벌 에너지 전환의 강력한 지지자인 중국은 지속 가능한 에너지의 미래를 구축하기 위해 다른 국가와 협력할 준비가 되어 있습니다. 중국은 다른 개발도상국이 국가 상황에 따라 독자적으로 선택한 에너지 전환 경로를 존중하며 공평하고 공정하며 질서 있는 방식으로 에너지 전환을 추진합니다. </w:t>
      </w:r>
    </w:p>
    <w:p>
      <w:pPr>
        <w:pStyle w:val="8"/>
      </w:pPr>
      <w:r>
        <w:t xml:space="preserve">중국 정부는 지난 10년간 에너지 전환을 위한 중국의 성공적인 조치와 역사적 성과를 기록하기 위해 이 백서를 발간합니다. </w:t>
      </w:r>
    </w:p>
    <w:p>
      <w:pPr>
        <w:pStyle w:val="8"/>
      </w:pPr>
    </w:p>
    <w:p>
      <w:pPr>
        <w:pStyle w:val="8"/>
      </w:pPr>
    </w:p>
    <w:p>
      <w:pPr>
        <w:pStyle w:val="7"/>
      </w:pPr>
      <w:r>
        <w:t xml:space="preserve">I. 중국의 에너지 전환의 길 </w:t>
      </w:r>
      <w:r>
        <w:br w:type="textWrapping"/>
      </w:r>
      <w:r>
        <w:t xml:space="preserve">새로운 시대</w:t>
      </w:r>
    </w:p>
    <w:p>
      <w:pPr>
        <w:pStyle w:val="8"/>
      </w:pPr>
      <w:r>
        <w:t xml:space="preserve">현재 전 세계는 과학, 기술, 산업 분야에서 새로운 혁명을 목격하고 있습니다. 친환경 및 저탄소 개발, 디지털 및 지능형 기술, 지속 가능성은 우리 시대의 압도적인 트렌드가 되었습니다. 개발 단계와 가용 자원의 차이에도 불구하고 모든 국가는 에너지 공급을 확보하고 친환경 및 저탄소 전환을 달성해야 한다는 목표와 과제를 공유하고 있습니다. 중국은 새로운 에너지 안보 전략에 따라 에너지 전환에 상당한 진전을 이루었으며, 우리 시대의 주요 글로벌 이슈에 대한 해결책을 제시하고 거버넌스에 대한 접근 방식을 보여주며 주요 국가로서의 책임을 다하고 있습니다. </w:t>
      </w:r>
    </w:p>
    <w:p>
      <w:pPr>
        <w:pStyle w:val="9"/>
      </w:pPr>
      <w:r>
        <w:t xml:space="preserve">1. 에너지 전환은 앞으로 나아갈 유일한 길</w:t>
      </w:r>
    </w:p>
    <w:p>
      <w:pPr>
        <w:pStyle w:val="8"/>
      </w:pPr>
      <w:r>
        <w:t xml:space="preserve">에너지의 개발과 활용은 인류와 자연 사이의 상호작용에서 중요한 측면입니다. 인류 발전의 역사를 살펴보면 인류의 모든 중요한 발전은 근본적으로 에너지 추출 및 활용의 변화와 1차 에너지원의 변화와 연관되어 있음을 알 수 있습니다.</w:t>
      </w:r>
    </w:p>
    <w:p>
      <w:pPr>
        <w:pStyle w:val="8"/>
      </w:pPr>
      <w:r>
        <w:t xml:space="preserve">수년에 걸쳐 중국은 석탄, 석유, 가스, 원자력, 수력, 풍력, 태양광 에너지를 아우르는 종합적인 에너지 공급 시스템을 구축하여 경제와 사회의 빠르고 지속적인 발전을 위한 강력한 원동력을 제공했습니다. </w:t>
      </w:r>
    </w:p>
    <w:p>
      <w:pPr>
        <w:pStyle w:val="8"/>
      </w:pPr>
      <w:r>
        <w:t xml:space="preserve">중국이 전방위적인 사회주의 현대화를 추진하면서 고품질 에너지 개발에 대한 새로운 요구 사항이 생겼습니다. 중국은 세계 최대의 개발도상국임에도 불구하고 1인당 에너지 소비량은 비교적 낮은 편입니다. 그러나 아직 산업화와 도시화가 완료되지 않았기 때문에 에너지 수요는 계속 증가할 것으로 보입니다. 중공업 위주의 산업 구조와 주로 석탄에 의존하는 에너지 믹스로 인해 중국은 장기적으로 자원 및 환경 제약에 계속 직면하게 될 것입니다. 에너지 전환은 위와 같은 문제에 대한 근본적인 해결책입니다.</w:t>
      </w:r>
    </w:p>
    <w:p>
      <w:pPr>
        <w:pStyle w:val="8"/>
      </w:pPr>
      <w:r>
        <w:t xml:space="preserve">중국의 에너지 전환은 1차 에너지원을 화석 연료에서 비화석 연료로 대체함으로써 에너지 개발의 모델과 동력을 변화시키는 데 초점을 맞추고 있습니다. 이러한 전환은 자원 및 환경 제약을 극복하고 최대 탄소 및 탄소 중립 목표를 달성하는 데 필수적입니다. 과학, 기술 및 산업 분야의 최근 혁명적 변화가 가져온 기회를 포착하고 새로운 양질의 생산력을 육성하는 것은 국가에 필수적입니다. 친환경적인 생산과 생활 방식을 확립하고 양질의 경제 및 사회 발전을 실현하는 것이 중요합니다. 이는 중국이 주요 국가로서의 책임을 다하고 미래를 공유하는 글로벌 커뮤니티에 기여하는 데 핵심적인 역할을 합니다. 이러한 이유로 중국은 에너지 전환을 진전시키기 위해 선제적인 조치를 취해 왔으며, 더 나은 미래를 위한 필수 요소로서 이 이니셔티브에 계속 전념할 것입니다. </w:t>
      </w:r>
    </w:p>
    <w:p>
      <w:pPr>
        <w:pStyle w:val="9"/>
      </w:pPr>
      <w:r>
        <w:t xml:space="preserve">2. 에너지 전환 가속화</w:t>
      </w:r>
    </w:p>
    <w:p>
      <w:pPr>
        <w:pStyle w:val="8"/>
      </w:pPr>
      <w:r>
        <w:t xml:space="preserve">중국은 에너지 개발의 세계적 추세를 존중하고 새로운 에너지 안보 전략을 확고하게 적용하고 있습니다. 인류와 자연의 조화를 이루고 인류의 발전을 위해 중국은 자원에 의존하는 에너지 개발 모델에서 혁신이 주도하는 에너지 개발 모델로 전환하고 있습니다. 중국은 자국의 현실에 맞고 시대적 요구에 부응하는 에너지 전환의 길을 모색하고 있습니다. </w:t>
      </w:r>
    </w:p>
    <w:p>
      <w:pPr>
        <w:pStyle w:val="8"/>
      </w:pPr>
      <w:r>
        <w:t xml:space="preserve">중국의 에너지 전환은 다음과 같은 원칙을 준수합니다: </w:t>
      </w:r>
    </w:p>
    <w:p>
      <w:pPr>
        <w:pStyle w:val="8"/>
      </w:pPr>
      <w:r>
        <w:rPr>
          <w:rFonts w:ascii="TimesNewRomanPS-BoldMT" w:hAnsi="TimesNewRomanPS-BoldMT" w:cs="TimesNewRomanPS-BoldMT"/>
          <w:b/>
          <w:bCs/>
        </w:rPr>
        <w:t xml:space="preserve">- 사람을 최우선으로 생각합니다.</w:t>
      </w:r>
      <w:r>
        <w:t xml:space="preserve"> 에너지는 일상 생활과 떼려야 뗄 수 없는 관계입니다. 중국은 사람 중심의 개발 철학을 유지함으로써 사회 전반에 걸쳐 에너지 서비스를 개선하여 청정 에너지의 안정적인 공급을 확보하고 국민들이 더 큰 이익과 성취감, 안정감을 느낄 수 있도록 했습니다. </w:t>
      </w:r>
    </w:p>
    <w:p>
      <w:pPr>
        <w:pStyle w:val="8"/>
      </w:pPr>
      <w:r>
        <w:rPr>
          <w:rFonts w:ascii="TimesNewRomanPS-BoldMT" w:hAnsi="TimesNewRomanPS-BoldMT" w:cs="TimesNewRomanPS-BoldMT"/>
          <w:b/>
          <w:bCs/>
        </w:rPr>
        <w:t xml:space="preserve">- 친환경 및 저탄소 개발 추구. </w:t>
      </w:r>
      <w:r>
        <w:t xml:space="preserve">에너지 전환은 경제 성장과 생태 환경 보호의 균형을 맞추기 위해 매우 중요합니다. 중국은 생태 환경 보호를 우선시하고 인류와 자연의 조화를 도모하는 친환경 저탄소 개발을 고수하고 있습니다. 에너지 전환은 중국의 경제 및 사회 발전을 위한 중요한 목표입니다. 중국은 에너지와 자원 보존을 최우선 과제로 삼고 석탄, 석유, 전기를 최대한 활용하여 에너지 효율을 높이는 동시에 포괄적인 보존 전략을 채택하고 있습니다. 친환경 및 저탄소 철학에 따라 중국은 화석 연료를 재생 에너지로 대체하기 위한 적극적인 조치를 취하고 있으며 비화석 연료가 주를 이루는 에너지 공급 시스템을 만드는 것을 목표로 하고 있습니다. </w:t>
      </w:r>
    </w:p>
    <w:p>
      <w:pPr>
        <w:pStyle w:val="8"/>
      </w:pPr>
      <w:r>
        <w:rPr>
          <w:rFonts w:ascii="TimesNewRomanPS-BoldMT" w:hAnsi="TimesNewRomanPS-BoldMT" w:cs="TimesNewRomanPS-BoldMT"/>
          <w:b/>
          <w:bCs/>
        </w:rPr>
        <w:t xml:space="preserve">- 국가 발전을 위해 봉사합니다. </w:t>
      </w:r>
      <w:r>
        <w:t xml:space="preserve">중국은 항상 자국의 에너지 공급을 통제할 수 있도록 국내 수요를 충족할 수 있는 역량을 강화했습니다. 중국은 낡은 것을 버리기 전에 새로운 것을 구축하는 관행을 적용하고, 기존 에너지를 단계적으로 폐지하기 전에 안전하고 신뢰할 수 있는 새로운 에너지를 확보하기 위해 강력한 종합 계획을 시행했습니다. 중국은 에너지 생산, 공급, 저장 및 판매 시스템을 개선하는 동시에 에너지 비축 규제의 취약점을 보완하고 화석 연료를 에너지 안보의 안전장치로 사용함으로써 에너지 안보 위험과 도전에 대한 효과적인 대응 전략을 수립했습니다. </w:t>
      </w:r>
    </w:p>
    <w:p>
      <w:pPr>
        <w:pStyle w:val="8"/>
      </w:pPr>
      <w:r>
        <w:rPr>
          <w:rFonts w:ascii="TimesNewRomanPS-BoldMT" w:hAnsi="TimesNewRomanPS-BoldMT" w:cs="TimesNewRomanPS-BoldMT"/>
          <w:b/>
          <w:bCs/>
          <w:spacing w:val="-1"/>
        </w:rPr>
        <w:t xml:space="preserve">- 성장을 위한 원동력으로서의 혁신 촉진. </w:t>
      </w:r>
      <w:r>
        <w:rPr>
          <w:spacing w:val="-1"/>
        </w:rPr>
        <w:t xml:space="preserve">혁신은 에너지 전환의 핵심입니다. 중국은 에너지 부문에 혁신 중심의 발전 전략을 적용함으로써 핵심 기술에서 획기적인 발전을 이루고 새로운 기술, 산업 및 비즈니스 모델을 창출했습니다. 새로운 에너지 기술과 관련 산업을 산업 업그레이드의 핵심 동력으로 삼고 새로운 양질의 생산력을 육성하는 것이 목표입니다. </w:t>
      </w:r>
      <w:r>
        <w:t xml:space="preserve">또한 중국은 모든 사업 주체의 활력을 높이기 위해 시장이 자원 배분에 결정적인 역할을 하고 정부가 그 역할을 더 잘 수행하도록 보장함으로써 에너지 부문에서 시장 지향적 개혁을 진전시켰습니다. </w:t>
      </w:r>
    </w:p>
    <w:p>
      <w:pPr>
        <w:pStyle w:val="8"/>
      </w:pPr>
      <w:r>
        <w:rPr>
          <w:rFonts w:ascii="TimesNewRomanPS-BoldMT" w:hAnsi="TimesNewRomanPS-BoldMT" w:cs="TimesNewRomanPS-BoldMT"/>
          <w:b/>
          <w:bCs/>
        </w:rPr>
        <w:t xml:space="preserve">- 개방과 협력의 확대. </w:t>
      </w:r>
      <w:r>
        <w:t xml:space="preserve">지속 가능한 발전과 기후 변화는 모든 인류의 공통 과제입니다. 중국은 미래를 공유하는 글로벌 공동체라는 비전을 가지고 에너지 분야에서 높은 수준의 개방을 확대하고 전방위적인 국제 협력을 강화하며 호혜적인 협력을 통해 녹색 및 저탄소 발전을 향한 에너지 전환을 추진하고 있습니다. 중국은 공평, 정의, 균형, 포용에 기반한 거버넌스 시스템을 구축하기 위해 글로벌 에너지 거버넌스 개혁에 적극적인 역할을 수행해 왔습니다. </w:t>
      </w:r>
    </w:p>
    <w:p>
      <w:pPr>
        <w:pStyle w:val="9"/>
      </w:pPr>
      <w:r>
        <w:t xml:space="preserve">3. 에너지 전환에서 주목할 만한 진전</w:t>
      </w:r>
    </w:p>
    <w:p>
      <w:pPr>
        <w:pStyle w:val="8"/>
        <w:rPr>
          <w:spacing w:val="-1"/>
        </w:rPr>
      </w:pPr>
      <w:r>
        <w:rPr>
          <w:spacing w:val="-1"/>
        </w:rPr>
        <w:t xml:space="preserve">지난 10년 동안 중국은 에너지 생산 및 소비 방식의 개혁을 추진하고 새로운 에너지 안보 전략의 지침에 따라 에너지 공급 능력을 업그레이드했으며 친환경 및 저탄소 에너지 개발에서 역사적인 돌파구를 마련했습니다. 이러한 성과는 고품질 경제 및 사회 발전을 실현하고 더 나은 삶에 대한 국민의 열망을 더 잘 충족하는 데 강력한 지원을 제공했으며, 아름다운 중국 이니셔티브를 뒷받침하는 데 기여했습니다. </w:t>
      </w:r>
    </w:p>
    <w:p>
      <w:pPr>
        <w:pStyle w:val="8"/>
      </w:pPr>
      <w:r>
        <w:rPr>
          <w:rFonts w:ascii="TimesNewRomanPS-BoldMT" w:hAnsi="TimesNewRomanPS-BoldMT" w:cs="TimesNewRomanPS-BoldMT"/>
          <w:b/>
          <w:bCs/>
        </w:rPr>
        <w:t xml:space="preserve">빠른 속도의 청정 에너지 개발.</w:t>
      </w:r>
      <w:r>
        <w:t xml:space="preserve"> 2023년 중국 전체 에너지 사용량에서 청정 에너지가 차지하는 비중은 2013년보다 10.9%포인트 증가한 26.4%에 달했습니다. 같은 기간 석탄 소비 비중은 12.1% 포인트 감소했습니다. 2023년 총 발전 설비용량은 2,920GW에 달했으며, 이 중 청정 에너지가 1,700GW로 58.2%를 차지했습니다. 같은 해 청정 에너지로 생산된 전력은 약 3,800TWh로, 2013년 대비 약 15% 포인트 증가한 전체 전력 생산량의 39.7%를 차지했습니다. 지난 10년 동안 청정 에너지로 생산된 전기는 총 전력 소비량 증가의 50% 이상을 차지하며 중국의 에너지 믹스에서 친환경 에너지가 차지하는 비중이 점점 더 커지고 있습니다. </w:t>
      </w:r>
    </w:p>
    <w:p>
      <w:pPr>
        <w:pStyle w:val="8"/>
      </w:pPr>
      <w:r>
        <w:rPr>
          <w:rFonts w:ascii="TimesNewRomanPS-BoldMT" w:hAnsi="TimesNewRomanPS-BoldMT" w:cs="TimesNewRomanPS-BoldMT"/>
          <w:b/>
          <w:bCs/>
        </w:rPr>
        <w:t xml:space="preserve">양질의 경제 및 사회 발전을 뒷받침합니다. </w:t>
      </w:r>
      <w:r>
        <w:t xml:space="preserve">중국은 자체 에너지 공급에 대한 통제력을 강화했습니다. 지난 10년 동안 중국의 1차 에너지 생산 능력은 35% 증가하여 안정적이고 건전한 경제 성장을 위한 강력한 기반을 마련했습니다. 같은 기간 에너지 부문의 고정 자산 투자는 총 39조 위안에 달했으며, 이는 전후방 산업 체인 및 관련 산업에 대한 투자 성장을 촉진했습니다. 일련의 주요 에너지 프로젝트가 완료되어 가동에 들어갔고, 에너지 장비 제조를 위한 완전한 산업 체인이 구축되었습니다. 새로운 에너지, 수력, 원자력, 송전 및 변환, 새로운 에너지 저장 분야의 기술 혁신이 가속화되었으며 청정에너지 산업은 중국 현대 산업 시스템의 새로운 기둥이 되었습니다. </w:t>
      </w:r>
    </w:p>
    <w:p>
      <w:pPr>
        <w:pStyle w:val="8"/>
      </w:pPr>
      <w:r>
        <w:rPr>
          <w:rFonts w:ascii="TimesNewRomanPS-BoldMT" w:hAnsi="TimesNewRomanPS-BoldMT" w:cs="TimesNewRomanPS-BoldMT"/>
          <w:b/>
          <w:bCs/>
        </w:rPr>
        <w:t xml:space="preserve">더 나은 삶에 대한 국민의 요구를 충족합니다. </w:t>
      </w:r>
      <w:r>
        <w:t xml:space="preserve">지난 10년 동안 중국의 에너지 수요와 공급은 균형을 유지해 왔습니다. 에너지 가격 </w:t>
      </w:r>
      <w:r>
        <w:br w:type="textWrapping"/>
      </w:r>
      <w:r>
        <w:t xml:space="preserve">도 대체로 안정적으로 유지되어 14억 명 이상의 인구에게 에너지 안보를 보장하고 있습니다. 1인당 전력 소비량은 이 기간 동안 약 500kWh에서 거의 1,000kWh로 두 배로 증가했으며, 천연가스 사용자 수는 총 5억 6,000만 명에 달했습니다. 중국은 세계은행의 글로벌 비즈니스 환경 지표인 전기 공급 순위에서 12위에 올랐습니다. </w:t>
      </w:r>
    </w:p>
    <w:p>
      <w:pPr>
        <w:pStyle w:val="8"/>
      </w:pPr>
      <w:r>
        <w:t xml:space="preserve">에너지 부문은 빈곤 퇴치와 농촌 활성화를 촉진하는 데 도움이 되었습니다. 중앙 예산에서 1,000억 위안 이상이 농촌 전력망 업그레이드에 투자되어 지방 정부와 기업의 투자 확대를 촉진하고 2015년까지 전국 모든 지역에 전기가 공급될 수 있도록 했습니다. 농촌 지역의 가정용 태양광 발전 설치 규모는 550만 가구 이상에 걸쳐 120GW에 달했습니다. 이를 통해 농부들은 110억 위안의 소득 증가와 연간 약 200만 개의 일자리를 창출했습니다. </w:t>
      </w:r>
    </w:p>
    <w:p>
      <w:pPr>
        <w:pStyle w:val="8"/>
      </w:pPr>
      <w:r>
        <w:t xml:space="preserve">친환경 에너지에 대한 수요 증가를 충족하기 위한 조치가 취해졌습니다. 2023년 말까지 중국 북부의 청정 에너지 난방 비율은 80%에 육박했고, 2013년 10만 개 미만이었던 전국 신에너지 자동차 충전 시설 수는 약 860만 개로 증가했습니다. </w:t>
      </w:r>
    </w:p>
    <w:p>
      <w:pPr>
        <w:pStyle w:val="8"/>
      </w:pPr>
      <w:r>
        <w:rPr>
          <w:rFonts w:ascii="TimesNewRomanPS-BoldMT" w:hAnsi="TimesNewRomanPS-BoldMT" w:cs="TimesNewRomanPS-BoldMT"/>
          <w:b/>
          <w:bCs/>
        </w:rPr>
        <w:t xml:space="preserve">높은 수준의 생태 환경 보호와 시너지 효과. </w:t>
      </w:r>
      <w:r>
        <w:t xml:space="preserve">지난 10년간 석탄 화력 발전의 평균 석탄 소비량은 킬로와트시당 표준 석탄 303그램으로 감소했으며, </w:t>
      </w:r>
      <w:r>
        <w:t xml:space="preserve">첨단 석탄 화력 발전의 </w:t>
      </w:r>
      <w:r>
        <w:t xml:space="preserve">SO</w:t>
      </w:r>
      <w:r>
        <w:rPr>
          <w:vertAlign w:val="subscript"/>
        </w:rPr>
        <w:t xml:space="preserve">2</w:t>
      </w:r>
      <w:r>
        <w:t xml:space="preserve"> 및 NO</w:t>
      </w:r>
      <w:r>
        <w:rPr>
          <w:vertAlign w:val="subscript"/>
        </w:rPr>
        <w:t xml:space="preserve">X</w:t>
      </w:r>
      <w:r>
        <w:t xml:space="preserve"> 배출량은 이제 천연가스 발전의 상한선과 비슷해졌습니다. 2013년부터 2023년까지 GDP 단위당 에너지 소비량은 26% 이상 감소했으며, 중국의 정제 석유 제품의 품질은 지속적으로 개선되어 선진 국제 수준에 도달했습니다. 전국적으로 석탄 화력 보일러와 발전소 수는 80% 이상 감소했으며, 베이징-톈진-허베이 지역과 펜허-웨이허 강 평야의 겨울 난방을 위해 거의 모든 벌크 석탄이 청정 에너지로 대체되었습니다. </w:t>
      </w:r>
    </w:p>
    <w:p>
      <w:pPr>
        <w:pStyle w:val="8"/>
      </w:pPr>
      <w:r>
        <w:t xml:space="preserve">에너지와 자원의 친환경적이고 집중적인 개발이 실현되고, 에너지와 자원 개발을 위한 친환경 기술이 널리 적용되었으며, 광산의 생태 환경이 크게 개선되었습니다. 태양광 기반 환경 복원 모델은 사막과 탄광 침하 지역에 성공적으로 도입되었습니다. </w:t>
      </w:r>
      <w:r>
        <w:t xml:space="preserve">미세먼지(</w:t>
      </w:r>
      <w:r>
        <w:rPr>
          <w:rFonts w:hint="default" w:ascii="Times New Roman" w:hAnsi="Times New Roman" w:eastAsia="微软雅黑" w:cs="Times New Roman"/>
          <w:i w:val="0"/>
          <w:caps w:val="0"/>
          <w:color w:val="auto"/>
          <w:spacing w:val="8"/>
          <w:sz w:val="18"/>
          <w:szCs w:val="18"/>
          <w:shd w:val="clear" w:fill="FFFFFF"/>
          <w:vertAlign w:val="subscript"/>
        </w:rPr>
        <w:t xml:space="preserve">2.5</w:t>
      </w:r>
      <w:r>
        <w:t xml:space="preserve"> )</w:t>
      </w:r>
      <w:r>
        <w:t xml:space="preserve">의 평균 농도는 </w:t>
      </w:r>
      <w:r>
        <w:t xml:space="preserve">지난 10년간 54% 감소했으며, 오염이 심한 날은 83% 감소하여 아름다운 중국 이니셔티브를 뒷받침하는 역할을 하고 있습니다. </w:t>
      </w:r>
    </w:p>
    <w:p>
      <w:pPr>
        <w:pStyle w:val="8"/>
      </w:pPr>
      <w:r>
        <w:rPr>
          <w:rFonts w:ascii="TimesNewRomanPS-BoldMT" w:hAnsi="TimesNewRomanPS-BoldMT" w:cs="TimesNewRomanPS-BoldMT"/>
          <w:b/>
          <w:bCs/>
        </w:rPr>
        <w:t xml:space="preserve">글로벌 에너지 전환과 깨끗하고 아름다운 세상을 만드는 데 기여합니다. </w:t>
      </w:r>
      <w:r>
        <w:t xml:space="preserve">2023년 중국의 에너지 전환 투자액은 6,760억 달러에 달해 이 분야에서 세계 최대 투자국이 되었습니다. 지난 10년 동안 중국은 국제 시장에 프리미엄 청정 에너지 제품과 서비스를 제공해 왔습니다. 또한 중국은 새로운 에너지 기술을 더 빠른 속도로 업그레이드하기 위해 기술 혁신 노력을 두 배로 늘려 전 세계 풍력 및 태양광 발전 비용을 급격히 낮추는 데 크게 기여했습니다. </w:t>
      </w:r>
    </w:p>
    <w:p>
      <w:pPr>
        <w:pStyle w:val="8"/>
      </w:pPr>
      <w:r>
        <w:t xml:space="preserve">개방과 협력을 확대하면서 중국은 100개 이상의 국가 및 지역과 친환경 에너지 프로젝트에 협력해 왔습니다. 원자력, 수력, 신에너지와 관련된 수많은 대표 프로젝트가 완료되었습니다. 2023년 중국의 풍력 및 태양광 발전 제품 수출은 다른 국가들이 이산화탄소 배출량을 약 8억 1,000만 톤 줄이는 데 도움이 되었습니다. 중국의 신에너지 산업은 전 세계 에너지 공급을 늘리고 글로벌 인플레이션 압력을 완화했으며 기후 변화에 대응하고 친환경 개발로 전환하려는 전 세계적인 노력에 기여했습니다. </w:t>
      </w:r>
    </w:p>
    <w:p>
      <w:pPr>
        <w:pStyle w:val="8"/>
      </w:pPr>
    </w:p>
    <w:p>
      <w:pPr>
        <w:pStyle w:val="8"/>
      </w:pPr>
    </w:p>
    <w:p>
      <w:pPr>
        <w:pStyle w:val="7"/>
      </w:pPr>
      <w:r>
        <w:t xml:space="preserve">II. 친환경 에너지 소비 촉진</w:t>
      </w:r>
    </w:p>
    <w:p>
      <w:pPr>
        <w:pStyle w:val="8"/>
      </w:pPr>
      <w:r>
        <w:t xml:space="preserve">친환경 개발은 생태 문명의 특징입니다. 중국은 맑은 물과 울창한 산이 귀중한 자산이라고 굳게 믿고 있으며 그에 따라 행동하고 있습니다. 따라서 중국은 개발 모델을 인간과 자연이 조화를 이루는 방향으로 전환하는 것을 주요 목표로 삼고 있습니다. 중국은 경제 및 사회 발전의 모든 측면에서 친환경적인 변화를 촉진하기 위해 에너지와 자원에 크게 의존하는 전통적인 경로에서 벗어나고 있습니다. </w:t>
      </w:r>
    </w:p>
    <w:p>
      <w:pPr>
        <w:pStyle w:val="9"/>
      </w:pPr>
      <w:r>
        <w:t xml:space="preserve">1. 에너지 절약 및 탄소 감축을 위한 제도적 제약 강화</w:t>
      </w:r>
    </w:p>
    <w:p>
      <w:pPr>
        <w:pStyle w:val="8"/>
      </w:pPr>
      <w:r>
        <w:t xml:space="preserve">에너지 절약에 우선순위를 두고 비합리적인 에너지 사용을 억제하기 위해 노력하는 중국은 자원 사용 방식을 바꾸고 자원 효율성을 개선하는 데 주력하고 있습니다.</w:t>
      </w:r>
    </w:p>
    <w:p>
      <w:pPr>
        <w:pStyle w:val="8"/>
      </w:pPr>
      <w:r>
        <w:rPr>
          <w:rFonts w:ascii="TimesNewRomanPS-BoldMT" w:hAnsi="TimesNewRomanPS-BoldMT" w:cs="TimesNewRomanPS-BoldMT"/>
          <w:b/>
          <w:bCs/>
        </w:rPr>
        <w:t xml:space="preserve">에너지 사용에 대한 이중 통제 정책의 극대화. </w:t>
      </w:r>
      <w:r>
        <w:t xml:space="preserve">에너지 사용량과 강도를 모두 통제하는 것은 생태 환경적 진보를 가속화하고 양질의 발전을 추구하는 데 있어 중요한 제도적 조치입니다. 중국은 경제 및 사회 발전의 역동성을 따라잡기 위해 에너지 집약도를 낮추겠다는 구속력 있는 목표를 설정하고 에너지 사용량과 강도 통제에서 탄소 배출량과 강도 통제로 초점을 전환했습니다. 지난 10년 동안 중국은 산업 구조조정과 업그레이드를 통해 에너지 절약 및 탄소 감축 기술과 산업을 도입하고 전반적으로 에너지 효율을 높였습니다. 이러한 노력의 결과로 중국의 에너지 집약도는 꾸준히 감소하여 약 14억 톤의 표준 석탄에 해당하는 에너지를 절약하고 약 30억 톤의 이산화탄소 배출량을 줄였습니다.</w:t>
      </w:r>
    </w:p>
    <w:p>
      <w:pPr>
        <w:pStyle w:val="8"/>
      </w:pPr>
      <w:r>
        <w:rPr>
          <w:rFonts w:ascii="TimesNewRomanPS-BoldMT" w:hAnsi="TimesNewRomanPS-BoldMT" w:cs="TimesNewRomanPS-BoldMT"/>
          <w:b/>
          <w:bCs/>
        </w:rPr>
        <w:t xml:space="preserve">다차원적인 에너지 절약 관리 시스템 구축.</w:t>
      </w:r>
      <w:r>
        <w:t xml:space="preserve"> 중국은 에너지 절약법, 순환 경제 촉진법 등 관련 법규를 전면적으로 시행하고 있습니다. 고정자산 투자 프로젝트에 대한 에너지 절약 검토 및 감독 등 관련 제도적 시스템을 구축하고 개선하기 위해 노력합니다. 주요 산업 및 기업의 에너지 절약 관리에 대한 명확한 요구 사항을 설정하고 주요 에너지 소비자에 대한 에너지 절약 관리를 강화했습니다. 중국은 또한 에너지 효율 페이스 세터 제도를 도입하여 다양한 주체가 에너지를 절약하고 효율성을 높이도록 장려하고 있습니다. 세제, 금융 및 기타 정책의 역할을 활용하여 사회 전체가 에너지 절약과 효율 개선에 더 많은 투자를 하도록 유도하고 있습니다.</w:t>
      </w:r>
    </w:p>
    <w:p>
      <w:pPr>
        <w:pStyle w:val="8"/>
      </w:pPr>
      <w:r>
        <w:rPr>
          <w:rFonts w:ascii="TimesNewRomanPS-BoldMT" w:hAnsi="TimesNewRomanPS-BoldMT" w:cs="TimesNewRomanPS-BoldMT"/>
          <w:b/>
          <w:bCs/>
        </w:rPr>
        <w:t xml:space="preserve">에너지 절약에 대한 시장 기반 접근 방식 장려.</w:t>
      </w:r>
      <w:r>
        <w:t xml:space="preserve"> 중국은 에너지 효율 표준 및 라벨 관리를 개선하고 에너지 절약에 관한 표준을 제정 및 개정하기 위해 지속적으로 노력해 왔으며, 이러한 표준을 통해 다양한 분야의 플레이어가 에너지를 절약하고 에너지 효율을 높일 수 있도록 유도하고 있습니다. 2023년 말까지 에너지 소비 제한 및 제품의 에너지 효율에 관한 335개의 국가 표준을 발표했습니다. 에너지 효율 라벨링 제도는 5대 주요 에너지 소비 </w:t>
      </w:r>
      <w:r>
        <w:rPr>
          <w:spacing w:val="-3"/>
        </w:rPr>
        <w:t xml:space="preserve">부문의 </w:t>
      </w:r>
      <w:r>
        <w:t xml:space="preserve">44개 에너지 사용 제품 카테고리에 적용됩니다</w:t>
      </w:r>
      <w:r>
        <w:rPr>
          <w:spacing w:val="-3"/>
        </w:rPr>
        <w:t xml:space="preserve">. </w:t>
      </w:r>
      <w:r>
        <w:rPr>
          <w:spacing w:val="-3"/>
        </w:rPr>
        <w:t xml:space="preserve">또한 중국은 </w:t>
      </w:r>
      <w:r>
        <w:t xml:space="preserve">에너지 성능 계약과 같은 </w:t>
      </w:r>
      <w:r>
        <w:rPr>
          <w:spacing w:val="-3"/>
        </w:rPr>
        <w:t xml:space="preserve">시장 지향적 </w:t>
      </w:r>
      <w:r>
        <w:t xml:space="preserve">메커니즘을 </w:t>
      </w:r>
      <w:r>
        <w:rPr>
          <w:spacing w:val="-3"/>
        </w:rPr>
        <w:t xml:space="preserve">적극적으로 </w:t>
      </w:r>
      <w:r>
        <w:t xml:space="preserve">적용하고 에너지 절약 컨설팅, 진단, 엔지니어링, 자금 조달, 전환 및 아웃소싱을 포함한 "원스톱" 종합 서비스를 추진했습니다. 2023년 에너지 절약 서비스 산업의 총 생산액은 5,000억 위안을 돌파하여 2013년의 두 배에 달했습니다. </w:t>
      </w:r>
    </w:p>
    <w:p>
      <w:pPr>
        <w:pStyle w:val="9"/>
      </w:pPr>
      <w:r>
        <w:t xml:space="preserve">2. 주요 부문의 에너지 절약 및 효율성 개선</w:t>
      </w:r>
    </w:p>
    <w:p>
      <w:pPr>
        <w:pStyle w:val="8"/>
      </w:pPr>
      <w:r>
        <w:t xml:space="preserve">에너지를 절약하고 에너지 효율을 높이기 위해 중국은 산업, 건설, 교통, 공공 기관과 같은 주요 부문에 집중해야 합니다. 이러한 부문은 주요 에너지 소비자이므로 에너지 절약과 효율성 개선의 기본이 될 것입니다. 에너지 절약 표준을 전면적으로 적용하고, 에너지 효율이 높은 첨단 제품을 장려하며, 노후화된 생산 설비를 단계적으로 폐지함으로써 이러한 주요 부문에서 에너지 효율이 지속적으로 상승하고 있습니다.</w:t>
      </w:r>
    </w:p>
    <w:p>
      <w:pPr>
        <w:pStyle w:val="8"/>
        <w:rPr>
          <w:spacing w:val="-1"/>
        </w:rPr>
      </w:pPr>
      <w:r>
        <w:rPr>
          <w:rFonts w:ascii="TimesNewRomanPS-BoldMT" w:hAnsi="TimesNewRomanPS-BoldMT" w:cs="TimesNewRomanPS-BoldMT"/>
          <w:b/>
          <w:bCs/>
          <w:spacing w:val="-1"/>
        </w:rPr>
        <w:t xml:space="preserve">에너지 절약에 있어 산업의 잠재력을 활용하기.</w:t>
      </w:r>
      <w:r>
        <w:rPr>
          <w:spacing w:val="-1"/>
        </w:rPr>
        <w:t xml:space="preserve"> 산업 부문은 에너지를 절약하고 에너지 효율을 높이는 데 중추적인 역할을 하기 때문에 중국은 낙후된 생산 능력을 대체하고 에너지 절약 기술 혁신을 추진하기 위해 지속적인 노력을 기울여 왔습니다. 생산 기술 혁신, 프로세스 리엔지니어링, 디지털 및 지능형 업그레이드를 촉진하고 주요 기업이 에너지 관리 관행을 개선할 수 있도록 지침을 제공했습니다. 지난 10년간 연 매출 2천만 위안 이상의 일정 규모 이상 산업 기업의 부가가치 단위당 에너지 소비량은 36% 이상 감소했습니다. 철강, 전해 알루미늄, 시멘트, 유리 및 기타 산업의 제품 단위당 종합 에너지 소비량은 평균 9% 이상 감소했습니다. </w:t>
      </w:r>
    </w:p>
    <w:p>
      <w:pPr>
        <w:pStyle w:val="8"/>
        <w:rPr>
          <w:rFonts w:hint="eastAsia" w:ascii="TimesNewRomanPS-BoldMT" w:hAnsi="TimesNewRomanPS-BoldMT" w:cs="TimesNewRomanPS-BoldMT"/>
          <w:b/>
          <w:bCs/>
        </w:rPr>
      </w:pP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 xml:space="preserve">패널 1 산업계의 에너지 절약 및 효율성의 빠른 진전</w:t>
            </w:r>
          </w:p>
        </w:tc>
      </w:tr>
      <w:tr>
        <w:tblPrEx>
          <w:tblLayout w:type="fixed"/>
          <w:tblCellMar>
            <w:top w:w="0" w:type="dxa"/>
            <w:left w:w="0" w:type="dxa"/>
            <w:bottom w:w="0" w:type="dxa"/>
            <w:right w:w="0" w:type="dxa"/>
          </w:tblCellMar>
        </w:tblPrEx>
        <w:trPr>
          <w:trHeight w:val="11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rPr>
                <w:rFonts w:ascii="TimesNewRomanPS-BoldMT" w:hAnsi="TimesNewRomanPS-BoldMT" w:cs="TimesNewRomanPS-BoldMT"/>
                <w:b/>
                <w:bCs/>
              </w:rPr>
              <w:t xml:space="preserve">에너지 효율의 벤치마킹 역할 강조.</w:t>
            </w:r>
            <w:r>
              <w:t xml:space="preserve"> 중국은 주요 산업에서 에너지 효율 벤치마크와 표준을 높였습니다. 주요 에너지 소비 장비에 대한 고급 에너지 효율 표준, 에너지 절약 표준, 보급형 표준을 갱신하고 대규모 장비 업그레이드와 소비재 보상 판매를 추진했습니다. 롤 모델을 확립하기 위해 주요 산업 및 선진 에너지 효율 표준을 선도하는 164개 기업 목록과 196개 국가 그린 데이터 센터 목록을 발표했습니다.</w:t>
            </w:r>
          </w:p>
          <w:p>
            <w:pPr>
              <w:pStyle w:val="11"/>
            </w:pPr>
            <w:r>
              <w:rPr>
                <w:rFonts w:ascii="TimesNewRomanPS-BoldMT" w:hAnsi="TimesNewRomanPS-BoldMT" w:cs="TimesNewRomanPS-BoldMT"/>
                <w:b/>
                <w:bCs/>
              </w:rPr>
              <w:t xml:space="preserve">산업 및 부문별 에너지 절약 및 탄소 감축 캠페인 시작.</w:t>
            </w:r>
            <w:r>
              <w:t xml:space="preserve"> 중국은 주요 에너지 소비 주체에 대한 심층적인 에너지 효율 진단을 실시하고 철강, 비철금속, 석유화학, 건축 자재 및 기타 주요 산업의 에너지 절약 및 탄소 저감 전환을 가속화했습니다. 또한 보일러, 전기 기계 및 변압기를 업그레이드하기 위한 노력도 기울였습니다.</w:t>
            </w:r>
          </w:p>
          <w:p>
            <w:pPr>
              <w:pStyle w:val="11"/>
            </w:pPr>
            <w:r>
              <w:rPr>
                <w:rFonts w:ascii="TimesNewRomanPS-BoldMT" w:hAnsi="TimesNewRomanPS-BoldMT" w:cs="TimesNewRomanPS-BoldMT"/>
                <w:b/>
                <w:bCs/>
              </w:rPr>
              <w:t xml:space="preserve">산업 에너지 절약에 대한 감독 및 진단을 실시합니다. </w:t>
            </w:r>
            <w:r>
              <w:t xml:space="preserve">2016년부터 3만 개 이상의 산업 기업을 대상으로 에너지 절약에 대한 국가 특별 감독을 실시하여 합리적인 에너지 사용을 장려하고 있습니다. 2만 개 이상의 산업 기업에 에너지 절약 진단 서비스를 제공하고 3만 7천 개의 전환 조치를 제안했습니다.</w:t>
            </w:r>
          </w:p>
        </w:tc>
      </w:tr>
    </w:tbl>
    <w:p>
      <w:pPr>
        <w:pStyle w:val="8"/>
        <w:rPr>
          <w:rFonts w:hint="eastAsia" w:ascii="TimesNewRomanPS-BoldMT" w:hAnsi="TimesNewRomanPS-BoldMT" w:cs="TimesNewRomanPS-BoldMT"/>
          <w:b/>
          <w:bCs/>
        </w:rPr>
      </w:pPr>
    </w:p>
    <w:p>
      <w:pPr>
        <w:pStyle w:val="8"/>
      </w:pPr>
      <w:r>
        <w:rPr>
          <w:rFonts w:ascii="TimesNewRomanPS-BoldMT" w:hAnsi="TimesNewRomanPS-BoldMT" w:cs="TimesNewRomanPS-BoldMT"/>
          <w:b/>
          <w:bCs/>
        </w:rPr>
        <w:t xml:space="preserve">친환경적이고 에너지 효율적인 건물 장려.</w:t>
      </w:r>
      <w:r>
        <w:t xml:space="preserve"> 중국은 현재 세계 최대 규모의 도시화 과정을 겪고 있습니다. 탄소 고착화를 방지하기 위해 중국은 신축 건물에 대해 더 높은 에너지 효율 기준을 적용하고 기존 건물의 에너지 절약형 개조도 꾸준히 진행하고 있습니다. 또한 중국은 에너지 소비량이 초저 또는 제로에 가까운 건물 개발에도 박차를 가하고 있습니다. 2023년 말까지 에너지 효율이 높은 건물의 연면적은 326억 8,000만 평방미터를 돌파하여 2013년 대비 약 30% 포인트 증가한 도시 건물 전체 연면적의 64% 이상을 차지했습니다. 에너지 소비량이 매우 낮거나 거의 제로에 가까운 건물의 바닥 면적은 현재 4,370만 평방미터를 넘어섰습니다.</w:t>
      </w:r>
    </w:p>
    <w:p>
      <w:pPr>
        <w:pStyle w:val="8"/>
        <w:rPr>
          <w:rFonts w:hint="eastAsia"/>
        </w:rPr>
      </w:pPr>
      <w:r>
        <w:rPr>
          <w:rFonts w:ascii="TimesNewRomanPS-BoldMT" w:hAnsi="TimesNewRomanPS-BoldMT" w:cs="TimesNewRomanPS-BoldMT"/>
          <w:b/>
          <w:bCs/>
        </w:rPr>
        <w:t xml:space="preserve">전방위적인 방식으로 깨끗하고 효율적인 운송 시스템을 개발합니다. </w:t>
      </w:r>
      <w:r>
        <w:t xml:space="preserve">경제 및 사회 발전과 함께 물류 및 여행 수요가 계속 증가함에 따라 운송 부문의 에너지 소비도 증가할 것입니다. 중국은 복합 운송 수단의 개발을 가속화하고 통합 운송 시스템 내에서 철도와 수로의 비중을 늘리고 있습니다. 중국은 도시 대중교통의 발전을 우선시하고, 친환경 교통 서비스 시스템을 최적화하며, 도시 여객 운송에서 신에너지 차량을 장려하고 있습니다. 선진 국제 수준에 부합하는 자동차 배기가스 배출 기준을 채택하여 국가 배기가스 배출 기준인 4단계 이상을 충족하지 못하는 차량을 단계적으로 퇴출하고 있습니다. 그 결과 운송 부문의 에너지 집약도가 감소했습니다. 2023년 철도 운송의 단위 하중당 종합 에너지 소비량은 2013년에 비해 약 19% 감소했습니다. 전기 자동차 충전 인프라 네트워크를 개발하고 수소 및 천연가스 충전소 및 관련 서비스 시설의 보급을 개선하기 위한 노력도 계속되고 있습니다. 2023년 말까지 </w:t>
      </w:r>
      <w:r>
        <w:t xml:space="preserve">전국적으로 </w:t>
      </w:r>
      <w:r>
        <w:t xml:space="preserve">약 860만 개의 충전 시설과 </w:t>
      </w:r>
      <w:r>
        <w:t xml:space="preserve">450개 </w:t>
      </w:r>
      <w:r>
        <w:rPr>
          <w:rFonts w:hint="eastAsia"/>
          <w:lang w:val="en-US" w:eastAsia="zh-CN"/>
        </w:rPr>
        <w:t xml:space="preserve">이상의 </w:t>
      </w:r>
      <w:r>
        <w:t xml:space="preserve">수소 연료 충전소가 </w:t>
      </w:r>
      <w:r>
        <w:t xml:space="preserve">설치되었습니다</w:t>
      </w:r>
      <w:r>
        <w:t xml:space="preserve">.</w:t>
      </w: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 xml:space="preserve">패널 2 충전 인프라 네트워크의 신속한 개발</w:t>
            </w:r>
          </w:p>
        </w:tc>
      </w:tr>
      <w:tr>
        <w:tblPrEx>
          <w:tblLayout w:type="fixed"/>
          <w:tblCellMar>
            <w:top w:w="0" w:type="dxa"/>
            <w:left w:w="0" w:type="dxa"/>
            <w:bottom w:w="0" w:type="dxa"/>
            <w:right w:w="0" w:type="dxa"/>
          </w:tblCellMar>
        </w:tblPrEx>
        <w:trPr>
          <w:trHeight w:val="11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중국은 세계 최대 규모의 충전 시설 네트워크를 보유하고 있으며 가장 광범위한 지역에 가장 완벽한 유형의 서비스를 제공합니다. 2023년 말까지 전국에 8,596,000개의 전기차 충전 시설이 설치되었으며, 이 중 2,726,000개가 공공, 5,870,000개가 민간으로 전체 차량 대 충전기 비율은 2.37:1에 달했습니다. 고속도로 휴게소나 주차장에 총 21,000개의 충전기가 설치되어 고속도로의 충전 시설 네트워크가 점점 더 광범위해지면서 대중이 더 안전하고 편리하며 효율적인 친환경 여행을 즐길 수 있게 되었습니다. 광둥성, 광시성, 하이난성, 장쑤성, 후베이성 및 기타 7개 성 단위 행정구역에서는 모든 카운티에 충전소가 있으며 모든 마을에 충전 더미가 있습니다.</w:t>
            </w:r>
          </w:p>
        </w:tc>
      </w:tr>
    </w:tbl>
    <w:p>
      <w:pPr>
        <w:pStyle w:val="8"/>
      </w:pPr>
    </w:p>
    <w:p>
      <w:pPr>
        <w:pStyle w:val="8"/>
      </w:pPr>
      <w:r>
        <w:rPr>
          <w:rFonts w:ascii="TimesNewRomanPS-BoldMT" w:hAnsi="TimesNewRomanPS-BoldMT" w:cs="TimesNewRomanPS-BoldMT"/>
          <w:b/>
          <w:bCs/>
        </w:rPr>
        <w:t xml:space="preserve">공공기관의 에너지 절약 촉진.</w:t>
      </w:r>
      <w:r>
        <w:t xml:space="preserve"> 중국은 공공기관 에너지 절약에 관한 규정을 제정하고 정부 부처 및 기타 공공기관의 에너지 절약을 촉진하기 위한 노력을 시작했습니다. 에너지 성능 계약을 통해 에너지 효율 개조를 도입하고 공공기관의 최종 에너지 소비의 전기화를 촉진했습니다. 친환경 사무 및 친환경 여행을 장려하고 조달 시 에너지 효율이 높은 친환경 제품을 우선적으로 구매합니다. 2023년 말까지 현급 이상 정부 부처의 90%가 에너지 절약 기준을 충족했으며, 5,114개의 공공기관이 에너지 절약의 모범 사례로 꼽혔습니다. 2023년까지 전국 공공기관의 1인당 종합 에너지 소비량은 2013년에 비해 20.4% 감소했습니다.</w:t>
      </w:r>
    </w:p>
    <w:p>
      <w:pPr>
        <w:pStyle w:val="9"/>
      </w:pPr>
      <w:r>
        <w:t xml:space="preserve">3. 에너지 소비의 친환경 모델 육성</w:t>
      </w:r>
    </w:p>
    <w:p>
      <w:pPr>
        <w:pStyle w:val="8"/>
      </w:pPr>
      <w:r>
        <w:t xml:space="preserve">중국 정부는 대중이 친환경 에너지를 우선시하고 근면과 절약의 중국 전통을 계승하도록 적극적으로 유도하고 있습니다. 단순하고 적당하며 건강한 친환경 저탄소 생활 방식과 소비로의 전환을 장려합니다.</w:t>
      </w:r>
    </w:p>
    <w:p>
      <w:pPr>
        <w:pStyle w:val="8"/>
      </w:pPr>
      <w:r>
        <w:rPr>
          <w:rFonts w:ascii="TimesNewRomanPS-BoldMT" w:hAnsi="TimesNewRomanPS-BoldMT" w:cs="TimesNewRomanPS-BoldMT"/>
          <w:b/>
          <w:bCs/>
        </w:rPr>
        <w:t xml:space="preserve">재생 에너지 소비 장려.</w:t>
      </w:r>
      <w:r>
        <w:t xml:space="preserve"> 중국은 성(省)급 행정 단위의 연간 재생 에너지 소비 목표를 설정하고 그 성과를 모니터링 및 평가하는 시스템을 도입했습니다. 또한 재생 가능 전기 소비에 대한 녹색 전기 인증 시스템을 구축하여 녹색 전기 인증서를 기업의 녹색 전기 소비 및 친환경성에 대한 유일한 증거로 활용하고 있습니다. 녹색 전기 소비량을 녹색 제품 평가, 인증 및 라벨링의 중요한 기준으로 사용합니다. 이러한 방식으로 정부는 사회 전체가 친환경 에너지 사용과 친환경 제품 및 서비스 구매에 우선순위를 두도록 장려합니다. 또한 유능한 기업들이 저탄소 또는 탄소 제로 에너지 소비 모델을 구축하도록 장려합니다. 2022년 베이징 동계 올림픽과 2023년 항저우 아시안게임은 모두 100% 친환경 전력을 사용했습니다.</w:t>
      </w:r>
    </w:p>
    <w:p>
      <w:pPr>
        <w:pStyle w:val="8"/>
      </w:pPr>
      <w:r>
        <w:rPr>
          <w:rFonts w:ascii="TimesNewRomanPS-BoldMT" w:hAnsi="TimesNewRomanPS-BoldMT" w:cs="TimesNewRomanPS-BoldMT"/>
          <w:b/>
          <w:bCs/>
        </w:rPr>
        <w:t xml:space="preserve">최종 에너지 소비의 전기화 및 저탄소 전환을 촉진합니다.</w:t>
      </w:r>
      <w:r>
        <w:t xml:space="preserve"> 산업 부문에서는 난방, 건조, 증기 공급과 같은 공정에서 기존 연료에서 전기로 전환하고 있습니다. 이는 고온 히트 펌프, 전기 난방 및 기타 기술의 사용을 통해 달성되었습니다. 또한 화학 및 야금 산업에서 재생 가능한 수소 생산의 실증과 적용을 촉진하기 위한 노력도 계속되고 있습니다. </w:t>
      </w:r>
    </w:p>
    <w:p>
      <w:pPr>
        <w:pStyle w:val="8"/>
      </w:pPr>
      <w:r>
        <w:t xml:space="preserve">건설 부문에서는 태양열 온수기와 전기 조리 기기가 널리 보급되었습니다. 중국 북부에서는 석탄을 전기, 천연가스, 바이오매스, 지열, 산업 배기열과 같은 청정 저탄소 에너지로 대체하는 청정 난방이 활발히 진행되고 있습니다. 2023년 중국 북부에서 청정 난방의 비중은 거의 80%에 달할 것으로 예상됩니다. </w:t>
      </w:r>
    </w:p>
    <w:p>
      <w:pPr>
        <w:pStyle w:val="8"/>
      </w:pPr>
      <w:r>
        <w:t xml:space="preserve">운송 부문에서는 신에너지 자동차, 철도의 전기화, 정박 선박 및 정박 항공기에 대한 육상 전력 사용이 강력하게 추진되고 있습니다. 2023년 말까지 중국은 2,040만 대 이상의 신에너지 차량을 보유했고, 철도 시스템의 전기화율은 73.8%에 달했으며, 사회 전체 최종 에너지 소비의 전기화율은 28%로 2013년 대비 약 7% 포인트 증가했습니다. </w:t>
      </w:r>
    </w:p>
    <w:p>
      <w:pPr>
        <w:pStyle w:val="8"/>
        <w:rPr>
          <w:rFonts w:hint="eastAsia" w:ascii="TimesNewRomanPS-BoldMT" w:hAnsi="TimesNewRomanPS-BoldMT" w:cs="TimesNewRomanPS-BoldMT"/>
          <w:b/>
          <w:bCs/>
        </w:rPr>
      </w:pP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 xml:space="preserve">패널 3 중국 북부의 청정 겨울 난방의 놀라운 효과</w:t>
            </w:r>
          </w:p>
        </w:tc>
      </w:tr>
      <w:tr>
        <w:tblPrEx>
          <w:tblLayout w:type="fixed"/>
          <w:tblCellMar>
            <w:top w:w="0" w:type="dxa"/>
            <w:left w:w="0" w:type="dxa"/>
            <w:bottom w:w="0" w:type="dxa"/>
            <w:right w:w="0" w:type="dxa"/>
          </w:tblCellMar>
        </w:tblPrEx>
        <w:trPr>
          <w:trHeight w:val="11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중앙 정부는 각 지역의 여건에 따라 청정 난방을 발전시킬 수 있도록 지원하기 위해 총 1,209억 위안을 투자했으며, 이를 통해 4,000억 위안이 넘는 다양한 지역 투자를 촉진했습니다. 2023년 말까지 중국 북부의 청정 난방 바닥 면적은 2016년 말 대비 107억 평방미터 증가했으며, 이 지역의 청정 난방 비율은 46% 포인트 상승했습니다. 베이징-톈진-허베이 지역과 그 주변의 </w:t>
            </w:r>
            <w:r>
              <w:rPr>
                <w:rFonts w:hint="default" w:ascii="Times New Roman" w:hAnsi="Times New Roman" w:eastAsia="微软雅黑" w:cs="Times New Roman"/>
                <w:i w:val="0"/>
                <w:caps w:val="0"/>
                <w:color w:val="auto"/>
                <w:spacing w:val="8"/>
                <w:sz w:val="25"/>
                <w:szCs w:val="25"/>
                <w:shd w:val="clear" w:fill="FFFFFF"/>
              </w:rPr>
              <w:t xml:space="preserve">미세먼지(</w:t>
            </w:r>
            <w:r>
              <w:rPr>
                <w:rFonts w:hint="default" w:ascii="Times New Roman" w:hAnsi="Times New Roman" w:eastAsia="微软雅黑" w:cs="Times New Roman"/>
                <w:i w:val="0"/>
                <w:caps w:val="0"/>
                <w:color w:val="auto"/>
                <w:spacing w:val="8"/>
                <w:sz w:val="18"/>
                <w:szCs w:val="18"/>
                <w:shd w:val="clear" w:fill="FFFFFF"/>
                <w:vertAlign w:val="subscript"/>
              </w:rPr>
              <w:t xml:space="preserve">2.5</w:t>
            </w:r>
            <w:r>
              <w:t xml:space="preserve"> ) 농도는 2016년 대비 41.1% 감소했으며, 오염이 심한 날은 61.2% 감소했습니다. 펜허-웨이허강 평야의 해당 수치는 30.6%와 41.8%였습니다. 난방에서 대량 석탄을 청정 에너지로 대체하면서 중국 북부의 대기 질 개선에 30%의 기여를 했으며, 삶의 질이 크게 향상되었습니다.</w:t>
            </w:r>
          </w:p>
        </w:tc>
      </w:tr>
    </w:tbl>
    <w:p>
      <w:pPr>
        <w:pStyle w:val="8"/>
      </w:pPr>
    </w:p>
    <w:p>
      <w:pPr>
        <w:pStyle w:val="8"/>
        <w:rPr>
          <w:rFonts w:hint="eastAsia" w:ascii="TimesNewRomanPS-BoldMT" w:hAnsi="TimesNewRomanPS-BoldMT" w:cs="TimesNewRomanPS-BoldMT"/>
          <w:b/>
          <w:bCs/>
        </w:rPr>
      </w:pPr>
    </w:p>
    <w:p>
      <w:pPr>
        <w:pStyle w:val="8"/>
        <w:rPr>
          <w:rFonts w:hint="eastAsia" w:ascii="TimesNewRomanPS-BoldMT" w:hAnsi="TimesNewRomanPS-BoldMT" w:cs="TimesNewRomanPS-BoldMT"/>
          <w:b/>
          <w:bCs/>
        </w:rPr>
      </w:pPr>
    </w:p>
    <w:p>
      <w:pPr>
        <w:pStyle w:val="8"/>
      </w:pPr>
      <w:r>
        <w:rPr>
          <w:rFonts w:ascii="TimesNewRomanPS-BoldMT" w:hAnsi="TimesNewRomanPS-BoldMT" w:cs="TimesNewRomanPS-BoldMT"/>
          <w:b/>
          <w:bCs/>
        </w:rPr>
        <w:t xml:space="preserve">친환경적이고 저탄소적인 생활 방식 채택하기.</w:t>
      </w:r>
      <w:r>
        <w:t xml:space="preserve"> 에너지 절약과 탄소 감축은 사회 전반에 걸쳐 추진되고 있습니다. 중국은 친환경 및 저탄소 생활 방식을 적극적으로 장려해 왔으며, 친환경 생활을 장려하고 자원 절약의 필요성에 대한 대중의 의식을 높이기 위한 노력을 강화해 왔습니다. 녹색 및 저탄소 제품을 홍보하기 위해 더 많은 노력을 기울였으며 국가 생태의 날, 국가 에너지 절약 주간, 국가 저탄소의 날 및 세계 환경의 날과 같은 대중 인식 행사를 실시하여 에너지 절약에 대한 인식과 이해를 종합적으로 홍보했습니다. 대중교통, 자전거, 걷기를 이동 수단으로 우선 선택하도록 권장하여 녹색 여행을 장려하고 있습니다. 또한 정부는 녹색 여행 캠페인을 조직하여 109개 참여 도시 중 97개 도시가 기준을 충족하여 녹색 여행 비율이 70%를 넘었습니다.</w:t>
      </w:r>
    </w:p>
    <w:p>
      <w:pPr>
        <w:pStyle w:val="8"/>
      </w:pPr>
    </w:p>
    <w:p>
      <w:pPr>
        <w:pStyle w:val="7"/>
      </w:pPr>
      <w:r>
        <w:t xml:space="preserve">III. 새로운 에너지 구축을 위한 빠른 움직임 </w:t>
      </w:r>
      <w:r>
        <w:br w:type="textWrapping"/>
      </w:r>
      <w:r>
        <w:t xml:space="preserve">공급 시스템</w:t>
      </w:r>
    </w:p>
    <w:p>
      <w:pPr>
        <w:pStyle w:val="8"/>
      </w:pPr>
      <w:r>
        <w:t xml:space="preserve">중국은 에너지 전환을 촉진하는 동시에 국가 여건과 발전 단계에 맞는 안정적인 에너지 공급을 보장하기 위해 전통 에너지원과 새로운 에너지원 간의 균형을 맞추기 위해 최선을 다하고 있습니다. 중국은 깨끗하고 다양하며 안전하고 탄력적인 에너지 공급 시스템을 구축하기 위해 대체 에너지원으로서 비화석 연료의 신뢰성을 개선하고 화석 연료의 지원 및 균형 역할을 활용하기 위해 노력해 왔습니다.</w:t>
      </w:r>
    </w:p>
    <w:p>
      <w:pPr>
        <w:pStyle w:val="9"/>
      </w:pPr>
      <w:r>
        <w:t xml:space="preserve">1. 비화석 에너지의 고품질 개발 촉진</w:t>
      </w:r>
    </w:p>
    <w:p>
      <w:pPr>
        <w:pStyle w:val="8"/>
      </w:pPr>
      <w:r>
        <w:rPr>
          <w:spacing w:val="-1"/>
        </w:rPr>
        <w:t xml:space="preserve">비화석 에너지 개발을 가속화하는 것은 생태 환경적 진보를 추구하고, 친환경 저탄소 </w:t>
      </w:r>
      <w:r>
        <w:t xml:space="preserve">경제 및 사회 발전을 촉진하며, 최대 탄소 및 탄소 중립 목표를 달성하는 </w:t>
      </w:r>
      <w:r>
        <w:rPr>
          <w:spacing w:val="-1"/>
        </w:rPr>
        <w:t xml:space="preserve">데 필수적인 단계입니다</w:t>
      </w:r>
      <w:r>
        <w:t xml:space="preserve">. 이는 친환경 생산성을 높이는 데 필수적입니다.</w:t>
      </w:r>
    </w:p>
    <w:p>
      <w:pPr>
        <w:pStyle w:val="8"/>
      </w:pPr>
      <w:r>
        <w:rPr>
          <w:rFonts w:ascii="TimesNewRomanPS-BoldMT" w:hAnsi="TimesNewRomanPS-BoldMT" w:cs="TimesNewRomanPS-BoldMT"/>
          <w:b/>
          <w:bCs/>
        </w:rPr>
        <w:t xml:space="preserve">풍력 및 태양광 발전의 붐을 실현합니다.</w:t>
      </w:r>
      <w:r>
        <w:t xml:space="preserve"> 중국은 풍부한 풍력 및 태양광 자원을 보유하고 있어 중국 내 청정 에너지 발전의 주요 공급원이 되고 있습니다. 쿠부치, 울란부, 텡거, 바다인 자란 사막을 중심으로 대규모 풍력 및 태양광 발전 기지의 건설이 단계적으로 진행되고 있으며, 총 설치 용량은 450GW에 달할 것으로 예상됩니다. 중국은 해상 풍력 발전 단지를 대규모로 집단 개발하여 누적 설치 용량이 37,280MW에 달합니다. 분산형 신에너지 생산도 빠르게 발전하고 있습니다. 농촌 지역에서 풍력 및 태양광 에너지 프로젝트가 시범적으로 진행되었으며, 농업용 태양광 발전, 어업용 태양광 하이브리드 시스템, 축산용 태양광 솔루션 등 '태양광 발전과 농업' 모델을 통해 새로운 에너지 생산을 위한 광범위한 공간이 열렸습니다. 2023년 말까지 중국의 풍력 및 태양광 발전 누적 설치 용량은 지난 10년 동안 11배 증가한 441GW와 609GW를 기록할 것으로 예상됩니다. 분산형 태양광 발전의 설치 용량은 250GW를 넘어 전체 태양광 발전 설치 용량의 40퍼센트 이상을 차지했습니다.</w:t>
      </w:r>
    </w:p>
    <w:p>
      <w:pPr>
        <w:pStyle w:val="8"/>
        <w:rPr>
          <w:rFonts w:hint="eastAsia" w:ascii="TimesNewRomanPS-BoldMT" w:hAnsi="TimesNewRomanPS-BoldMT" w:cs="TimesNewRomanPS-BoldMT"/>
          <w:b/>
          <w:bCs/>
          <w:spacing w:val="-3"/>
        </w:rPr>
      </w:pPr>
    </w:p>
    <w:p>
      <w:pPr>
        <w:pStyle w:val="8"/>
        <w:rPr>
          <w:rFonts w:hint="eastAsia" w:ascii="TimesNewRomanPS-BoldMT" w:hAnsi="TimesNewRomanPS-BoldMT" w:cs="TimesNewRomanPS-BoldMT"/>
          <w:b/>
          <w:bCs/>
          <w:spacing w:val="-3"/>
        </w:rPr>
      </w:pPr>
      <w:r>
        <w:rPr>
          <w:rFonts w:ascii="TimesNewRomanPS-BoldMT" w:hAnsi="TimesNewRomanPS-BoldMT" w:cs="TimesNewRomanPS-BoldMT"/>
          <w:b/>
          <w:bCs/>
          <w:spacing w:val="-3"/>
          <w:lang w:val="en-US"/>
        </w:rPr>
        <w:drawing>
          <wp:inline distT="0" distB="0" distL="0" distR="0">
            <wp:extent cx="4216400" cy="2413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216400" cy="2413000"/>
                    </a:xfrm>
                    <a:prstGeom prst="rect">
                      <a:avLst/>
                    </a:prstGeom>
                    <a:noFill/>
                    <a:ln>
                      <a:noFill/>
                    </a:ln>
                  </pic:spPr>
                </pic:pic>
              </a:graphicData>
            </a:graphic>
          </wp:inline>
        </w:drawing>
      </w:r>
    </w:p>
    <w:p>
      <w:pPr>
        <w:pStyle w:val="8"/>
        <w:rPr>
          <w:rFonts w:hint="eastAsia" w:ascii="TimesNewRomanPS-BoldMT" w:hAnsi="TimesNewRomanPS-BoldMT" w:cs="TimesNewRomanPS-BoldMT"/>
          <w:b/>
          <w:bCs/>
          <w:spacing w:val="-3"/>
        </w:rPr>
      </w:pPr>
    </w:p>
    <w:p>
      <w:pPr>
        <w:pStyle w:val="8"/>
        <w:rPr>
          <w:rFonts w:hint="eastAsia" w:ascii="TimesNewRomanPS-BoldMT" w:hAnsi="TimesNewRomanPS-BoldMT" w:cs="TimesNewRomanPS-BoldMT"/>
          <w:b/>
          <w:bCs/>
          <w:spacing w:val="-3"/>
        </w:rPr>
      </w:pP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 xml:space="preserve">패널 4 'PV 플러스' 모델로 친환경 개발 확대</w:t>
            </w:r>
          </w:p>
        </w:tc>
      </w:tr>
      <w:tr>
        <w:tblPrEx>
          <w:tblLayout w:type="fixed"/>
          <w:tblCellMar>
            <w:top w:w="0" w:type="dxa"/>
            <w:left w:w="0" w:type="dxa"/>
            <w:bottom w:w="0" w:type="dxa"/>
            <w:right w:w="0" w:type="dxa"/>
          </w:tblCellMar>
        </w:tblPrEx>
        <w:trPr>
          <w:trHeight w:val="29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중국은 태양광 발전의 혁신적인 사용 방법을 모색하고 태양광 발전을 농업, 운송, 사막화 방지 및 통제 등의 활동과 통합하는 여러 가지 '태양광 플러스' 모델을 출시했습니다. 이러한 모델은 태양광 발전의 잠재적 용도를 넓히고 사회 전반의 친환경 발전에 기여하고 있습니다.</w:t>
            </w:r>
          </w:p>
          <w:p>
            <w:pPr>
              <w:pStyle w:val="11"/>
            </w:pPr>
            <w:r>
              <w:t xml:space="preserve">산시성 린펀시 툰리진에 있는 이 대형 발전소의 설치 용량은 30MW입니다. 이 발전소는 '태양광 발전과 농업을 결합한' 모델을 채택하고 있으며, 토지 이용 효율을 높이기 위해 발전용 태양광 패널이 설치된 온실에서 기름을 생산하는 모란을 재배하는 농업을 활용하고 있습니다.</w:t>
            </w:r>
          </w:p>
        </w:tc>
      </w:tr>
      <w:tr>
        <w:tblPrEx>
          <w:tblLayout w:type="fixed"/>
          <w:tblCellMar>
            <w:top w:w="0" w:type="dxa"/>
            <w:left w:w="0" w:type="dxa"/>
            <w:bottom w:w="0" w:type="dxa"/>
            <w:right w:w="0" w:type="dxa"/>
          </w:tblCellMar>
        </w:tblPrEx>
        <w:trPr>
          <w:trHeight w:val="32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산둥성, 장쑤성, 산시성, 안후이성, 쓰촨성 등의 성에서는 고속도로 휴게소와 요금소, 건물 옥상과 외벽에 분산형 태양광 발전 시스템을 설치했습니다. 저탄소 서비스를 제공하고 태양광 발전 시스템을 교통수단 및 주변 경관과 통합하고 있습니다. </w:t>
            </w:r>
          </w:p>
          <w:p>
            <w:pPr>
              <w:pStyle w:val="11"/>
            </w:pPr>
            <w:r>
              <w:t xml:space="preserve">중국의 내몽고 자치구 오르도스시 쿠부치 사막의 사막화 방지 태양광 발전 프로젝트는 태양광 발전과 사막 녹화 모델을 결합한 프로젝트입니다. 이 프로젝트의 설치 용량은 2,000MW이며 태양광 패널 아래 공간을 활용하여 식물을 재배하고 가축을 사육합니다. 이를 통해 약 6,670헥타르의 사막을 복원하고 연간 황하로의 퇴적물 이동을 약 200만 톤 줄일 수 있을 것으로 기대됩니다.</w:t>
            </w:r>
          </w:p>
        </w:tc>
      </w:tr>
    </w:tbl>
    <w:p>
      <w:pPr>
        <w:pStyle w:val="8"/>
        <w:rPr>
          <w:rFonts w:hint="eastAsia" w:ascii="TimesNewRomanPS-BoldMT" w:hAnsi="TimesNewRomanPS-BoldMT" w:cs="TimesNewRomanPS-BoldMT"/>
          <w:b/>
          <w:bCs/>
          <w:spacing w:val="-3"/>
        </w:rPr>
      </w:pPr>
    </w:p>
    <w:p>
      <w:pPr>
        <w:pStyle w:val="8"/>
        <w:rPr>
          <w:rFonts w:hint="eastAsia" w:ascii="TimesNewRomanPS-BoldMT" w:hAnsi="TimesNewRomanPS-BoldMT" w:cs="TimesNewRomanPS-BoldMT"/>
          <w:b/>
          <w:bCs/>
          <w:spacing w:val="-3"/>
        </w:rPr>
      </w:pPr>
    </w:p>
    <w:p>
      <w:pPr>
        <w:pStyle w:val="8"/>
        <w:rPr>
          <w:spacing w:val="-1"/>
        </w:rPr>
      </w:pPr>
      <w:r>
        <w:rPr>
          <w:rFonts w:ascii="TimesNewRomanPS-BoldMT" w:hAnsi="TimesNewRomanPS-BoldMT" w:cs="TimesNewRomanPS-BoldMT"/>
          <w:b/>
          <w:bCs/>
          <w:spacing w:val="-3"/>
        </w:rPr>
        <w:t xml:space="preserve">여건이 허락하는 한 수력 발전 개발. </w:t>
      </w:r>
      <w:r>
        <w:rPr>
          <w:spacing w:val="-3"/>
        </w:rPr>
        <w:t xml:space="preserve">수력 발전과 생태 환경 </w:t>
      </w:r>
      <w:r>
        <w:rPr>
          <w:spacing w:val="-1"/>
        </w:rPr>
        <w:t xml:space="preserve">보존을 </w:t>
      </w:r>
      <w:r>
        <w:rPr>
          <w:spacing w:val="-3"/>
        </w:rPr>
        <w:t xml:space="preserve">조화시키기 위한 건전한 조치가 취해졌습니다</w:t>
      </w:r>
      <w:r>
        <w:rPr>
          <w:spacing w:val="-1"/>
        </w:rPr>
        <w:t xml:space="preserve">. 대형 수력 발전 기지의 건설이 진행 중이며 기존 대형 수력 발전소는 업그레이드되었습니다. 2023년 말까지 중국의 정규 수력 발전 용량은 370GW에 달할 것으로 예상됩니다. 소규모 수력발전소의 친환경 전환과 현대화도 꾸준히 진행되어 2023년 말까지 약 4,000개의 발전소가 친환경 기능을 개선하기 위해 업그레이드될 예정입니다. </w:t>
      </w:r>
    </w:p>
    <w:p>
      <w:pPr>
        <w:pStyle w:val="8"/>
        <w:rPr>
          <w:rFonts w:hint="eastAsia" w:ascii="TimesNewRomanPS-BoldMT" w:hAnsi="TimesNewRomanPS-BoldMT" w:cs="TimesNewRomanPS-BoldMT"/>
          <w:b/>
          <w:bCs/>
        </w:rPr>
      </w:pP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 xml:space="preserve">패널 5 세계 최대 규모의 청정 에너지 회랑</w:t>
            </w:r>
          </w:p>
        </w:tc>
      </w:tr>
      <w:tr>
        <w:tblPrEx>
          <w:tblLayout w:type="fixed"/>
          <w:tblCellMar>
            <w:top w:w="0" w:type="dxa"/>
            <w:left w:w="0" w:type="dxa"/>
            <w:bottom w:w="0" w:type="dxa"/>
            <w:right w:w="0" w:type="dxa"/>
          </w:tblCellMar>
        </w:tblPrEx>
        <w:trPr>
          <w:trHeight w:val="3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rPr>
                <w:spacing w:val="-2"/>
              </w:rPr>
            </w:pPr>
            <w:r>
              <w:rPr>
                <w:spacing w:val="-2"/>
              </w:rPr>
              <w:t xml:space="preserve">2022년 12월, 모든 발전 유닛이 가동에 들어간 바이허탄 수력발전소는 우둥더, 시루오두, 샹지아바, 삼협, 거저우바 발전소에 이어 장강 본류의 여섯 번째 메가 캐스케이드 수력발전소가 되었습니다. 강을 따라 100개 이상의 수력 발전 장치가 작동하는 이 발전소는 세계 최대의 청정 에너지 통로를 형성합니다.</w:t>
            </w:r>
          </w:p>
          <w:p>
            <w:pPr>
              <w:pStyle w:val="11"/>
            </w:pPr>
            <w:r>
              <w:t xml:space="preserve">총 길이가 1,800킬로미터에 달하고 높이 차이가 900미터가 넘는 이 청정 에너지 회랑의 총 설치 용량은 70,000MW 이상으로, 삼협곡 발전소의 약 3배에 달합니다. 2023년에 6개 발전소에서 생산한 전력은 276TWh가 넘으며, 이는 표준 석탄 약 8,300만 톤을 절약한 것과 맞먹는 양입니다. 이 청정 에너지 회랑은 중국의 에너지 믹스를 개선하고 최대 탄소 및 탄소 중립 목표를 실현하는 데 기여했습니다.</w:t>
            </w:r>
          </w:p>
        </w:tc>
      </w:tr>
    </w:tbl>
    <w:p>
      <w:pPr>
        <w:pStyle w:val="8"/>
        <w:rPr>
          <w:rFonts w:hint="eastAsia" w:ascii="TimesNewRomanPS-BoldMT" w:hAnsi="TimesNewRomanPS-BoldMT" w:cs="TimesNewRomanPS-BoldMT"/>
          <w:b/>
          <w:bCs/>
        </w:rPr>
      </w:pPr>
    </w:p>
    <w:p>
      <w:pPr>
        <w:pStyle w:val="8"/>
        <w:rPr>
          <w:rFonts w:hint="eastAsia" w:ascii="TimesNewRomanPS-BoldMT" w:hAnsi="TimesNewRomanPS-BoldMT" w:cs="TimesNewRomanPS-BoldMT"/>
          <w:b/>
          <w:bCs/>
        </w:rPr>
      </w:pPr>
    </w:p>
    <w:p>
      <w:pPr>
        <w:pStyle w:val="8"/>
      </w:pPr>
      <w:r>
        <w:rPr>
          <w:rFonts w:ascii="TimesNewRomanPS-BoldMT" w:hAnsi="TimesNewRomanPS-BoldMT" w:cs="TimesNewRomanPS-BoldMT"/>
          <w:b/>
          <w:bCs/>
        </w:rPr>
        <w:t xml:space="preserve">견고하고 안전하며 질서 있는 원자력 발전을 추구합니다. </w:t>
      </w:r>
      <w:r>
        <w:t xml:space="preserve">원자력은 효율적이고 고품질의 청정 에너지원입니다. 중국은 원자력 발전의 발전을 위해서는 원자력 안전이 필수적이라고 주장합니다. 중국은 가동 중인 원자력 발전소가 장기간 안전하고 안정적으로 유지될 수 있도록 최첨단 기술과 가장 엄격한 표준을 채택했습니다. 현재 다수의 해안 원자력 발전 프로젝트가 진행 중입니다: 국내에서 개발한 3세대 원자로인 화룽 원 1호기는 이미 가동에 들어갔고, 또 다른 독자 설계 3세대 원자로인 궈허 원 시범 프로젝트는 현재 건설 중이며, 세계 최초의 고온 가스 냉각 원자로를 갖춘 4세대 원자력 발전소도 공식적으로 상업 가동에 들어갔습니다. 청정 난방과 열 공급을 위한 원자력 에너지의 종합적인 이용에 획기적인 진전이 이루어지면서 원자력 에너지의 활용 범위가 확대되었습니다. 2023년 말까지 중국 전역에서 가동 중인 원자력 발전소의 총 설치 용량은 56,910MW로 2013년 말의 3.9배에 달합니다. 2023년 말까지 중국에서 건설 및 운영 중인 원자력 발전소의 총 설치 용량은 총 100.33GW에 달했습니다.</w:t>
      </w:r>
    </w:p>
    <w:p>
      <w:pPr>
        <w:pStyle w:val="8"/>
      </w:pPr>
      <w:r>
        <w:rPr>
          <w:rFonts w:ascii="TimesNewRomanPS-BoldMT" w:hAnsi="TimesNewRomanPS-BoldMT" w:cs="TimesNewRomanPS-BoldMT"/>
          <w:b/>
          <w:bCs/>
        </w:rPr>
        <w:t xml:space="preserve">바이오매스, 지열, 해양 에너지 개발 촉진. </w:t>
      </w:r>
      <w:r>
        <w:t xml:space="preserve">중국은 현지 상황에 따라 바이오매스 에너지의 사용과 개발을 다각화했습니다. 농림업 바이오매스, 바이오가스, 도시 생활 쓰레기 소각을 통한 전력 생산을 꾸준히 발전시키고 있습니다. 2023년 말까지 바이오매스 에너지 발전소의 설치 용량은 44,140MW에 달했습니다. 중국은 현지 상황에 맞춰 청정 난방을 위해 바이오매스 에너지 사용을 장려하고, 바이오가스 생산을 위해 가축 및 가금류 폐기물의 활용을 늘리고 있습니다. 또한 바이오 에탄올과 바이오 디젤과 같은 청정 액체 연료의 적용을 촉진하고 있습니다. 중-심부 지열 에너지 탐사에서 새로운 돌파구가 마련되었고, 지열 에너지를 주로 사용하는 중앙 집중식 난방 프로젝트가 건설되었습니다. 해양 에너지를 대규모로 활용하는 데도 진전이 있었습니다.</w:t>
      </w:r>
    </w:p>
    <w:p>
      <w:pPr>
        <w:pStyle w:val="9"/>
      </w:pPr>
      <w:r>
        <w:t xml:space="preserve">2. 전통 에너지와 새로운 에너지의 개발 조정 </w:t>
      </w:r>
    </w:p>
    <w:p>
      <w:pPr>
        <w:pStyle w:val="8"/>
      </w:pPr>
      <w:r>
        <w:t xml:space="preserve">전통 에너지와 신에너지는 상호 보완과 대체의 관계를 이루고 있습니다. 중국은 신에너지 개발을 촉진하기 위해 많은 노력을 기울이는 동시에 전통 에너지의 지원 및 보호 역할도 충분히 활용하여 신에너지와 전통 에너지가 시너지 효과를 발휘할 수 있도록 합니다.</w:t>
      </w:r>
    </w:p>
    <w:p>
      <w:pPr>
        <w:pStyle w:val="8"/>
      </w:pPr>
      <w:r>
        <w:rPr>
          <w:rFonts w:ascii="TimesNewRomanPS-BoldMT" w:hAnsi="TimesNewRomanPS-BoldMT" w:cs="TimesNewRomanPS-BoldMT"/>
          <w:b/>
          <w:bCs/>
        </w:rPr>
        <w:t xml:space="preserve">깨끗하고 효율적인 석탄 탐사 및 활용을 촉진합니다</w:t>
      </w:r>
      <w:r>
        <w:t xml:space="preserve">. 중국은 친환경 석탄 채굴을 위한 장기적인 메커니즘을 수립하고 안전하고 지능적이며 친환경적인 현대식 탄광을 건설했습니다. 광산 지역에 대한 종합적인 관리와 생태 복원을 시행하여 해당 지역의 생태 환경을 지속적으로 개선하고 있습니다. 지난 10년간 전국 원료탄 세척률, 광산수 종합 이용률, 토지 개간률은 모두 10% 포인트 이상 증가했습니다. 국가는 탄광 가스에 대한 종합적인 관리와 안전한 이용을 강화했으며 가스 추출이 안전한 생산, 자원 활용 및 환경 보호에 미치는 이점이 점점 더 가시화되고 있습니다. 지난 10년 동안 전국적으로 총 용량이 100GW가 넘는 노후 석탄 화력 발전 시설이 폐기되었습니다. 남아있는 석탄 화력 발전소의 에너지 절약 및 탄소 저감 전환을 실현하고 유연한 부하 조절 능력을 높이며 열 공급 능력을 업그레이드하기 위해 조정 된 조치가 취해졌습니다. 2023 년 말까지 석탄 화력 발전소의 95 % 이상이 초저 배출을 달성했으며 50 % 이상이 피크 절감 능력을 크게 향상시켜 전력 산업의 오염 물질 배출을 90 % 이상 줄였습니다.</w:t>
      </w:r>
    </w:p>
    <w:p>
      <w:pPr>
        <w:pStyle w:val="8"/>
        <w:rPr>
          <w:rFonts w:hint="eastAsia" w:ascii="TimesNewRomanPS-BoldMT" w:hAnsi="TimesNewRomanPS-BoldMT" w:cs="TimesNewRomanPS-BoldMT"/>
          <w:b/>
          <w:bCs/>
        </w:rPr>
      </w:pPr>
    </w:p>
    <w:p>
      <w:pPr>
        <w:pStyle w:val="8"/>
        <w:rPr>
          <w:rFonts w:hint="eastAsia" w:ascii="TimesNewRomanPS-BoldMT" w:hAnsi="TimesNewRomanPS-BoldMT" w:cs="TimesNewRomanPS-BoldMT"/>
          <w:b/>
          <w:bCs/>
        </w:rPr>
      </w:pPr>
      <w:r>
        <w:rPr>
          <w:rFonts w:ascii="TimesNewRomanPS-BoldMT" w:hAnsi="TimesNewRomanPS-BoldMT" w:cs="TimesNewRomanPS-BoldMT"/>
          <w:b/>
          <w:bCs/>
          <w:lang w:val="en-US"/>
        </w:rPr>
        <w:drawing>
          <wp:inline distT="0" distB="0" distL="0" distR="0">
            <wp:extent cx="4191000" cy="2882900"/>
            <wp:effectExtent l="0" t="0" r="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191000" cy="2882900"/>
                    </a:xfrm>
                    <a:prstGeom prst="rect">
                      <a:avLst/>
                    </a:prstGeom>
                    <a:noFill/>
                    <a:ln>
                      <a:noFill/>
                    </a:ln>
                  </pic:spPr>
                </pic:pic>
              </a:graphicData>
            </a:graphic>
          </wp:inline>
        </w:drawing>
      </w:r>
    </w:p>
    <w:p>
      <w:pPr>
        <w:pStyle w:val="8"/>
        <w:rPr>
          <w:rFonts w:hint="eastAsia" w:ascii="TimesNewRomanPS-BoldMT" w:hAnsi="TimesNewRomanPS-BoldMT" w:cs="TimesNewRomanPS-BoldMT"/>
          <w:b/>
          <w:bCs/>
        </w:rPr>
      </w:pPr>
    </w:p>
    <w:p>
      <w:pPr>
        <w:pStyle w:val="8"/>
      </w:pPr>
      <w:r>
        <w:rPr>
          <w:rFonts w:ascii="TimesNewRomanPS-BoldMT" w:hAnsi="TimesNewRomanPS-BoldMT" w:cs="TimesNewRomanPS-BoldMT"/>
          <w:b/>
          <w:bCs/>
        </w:rPr>
        <w:t xml:space="preserve">친환경 석유 및 가스 생산으로의 전환을 촉진합니다</w:t>
      </w:r>
      <w:r>
        <w:t xml:space="preserve">. 연간 원유 생산량은 약 2억 톤으로 안정화되었고, 천연가스 생산량은 7년 연속 연간 100억 입방미터 이상 증가했습니다. 중국은 친환경 유전 및 가스전 건설을 적극적으로 추진하고 탄소 포집, 활용 및 저장(CCUS) 기술에서 상당한 진전을 이루었으며 탄소 배출 제로에 가까운 석유 및 가스 시범 지역을 건설했습니다. 또한 원유 정제 및 석유화학 산업의 전환과 업그레이드를 촉진하고 재생 에너지로 수소를 생산하고 이산화탄소 수소화를 통해 화학 제품을 생산하는 기술의 연구개발과 적용을 강화했다. 정제유의 품질을 꾸준히 업그레이드하고 경상용차 배기가스 배출 기준을 국가 3단계에서 국가 6단계로 상향 조정하는 등 내실 있는 계획을 실행하고 있습니다. 중국은 정제유의 품질을 선진국 수준으로 업그레이드하는 데 10년이 채 걸리지 않았으며, 이는 선진국보다 20년이나 빠른 속도입니다.</w:t>
      </w: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 xml:space="preserve">패널 6 화석 에너지 활용에서 CCUS 기술 시범 운영</w:t>
            </w:r>
          </w:p>
        </w:tc>
      </w:tr>
      <w:tr>
        <w:tblPrEx>
          <w:tblLayout w:type="fixed"/>
          <w:tblCellMar>
            <w:top w:w="0" w:type="dxa"/>
            <w:left w:w="0" w:type="dxa"/>
            <w:bottom w:w="0" w:type="dxa"/>
            <w:right w:w="0" w:type="dxa"/>
          </w:tblCellMar>
        </w:tblPrEx>
        <w:trPr>
          <w:trHeight w:val="3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시노펙의 치루사와 셩리 유전이 중국 최초의 백만 톤 규모의 CCUS 프로젝트를 완공했습니다. 이 프로젝트는 산업 배기가스에서 이산화탄소를 포집하여 파이프라인을 통해 셩리 유전으로 운송하여 채굴 공정을 진행하도록 설계되었습니다. 이산화탄소를 장기적으로 안전하게 저장하는 동시에 CCUS 기술은 저투과성 저류층의 석유 회수율을 개선하여 석유 치환 효율을 25% 이상 높이고 회수율을 12% 이상 높입니다.</w:t>
            </w:r>
          </w:p>
          <w:p>
            <w:pPr>
              <w:pStyle w:val="11"/>
            </w:pPr>
            <w:r>
              <w:t xml:space="preserve">CHN Energy는 연간 50만 톤의 포집 능력을 갖춘 아시아 최대 규모의 석탄 화력 발전 부문 CCUS 시설을 건설했습니다. 이 프로젝트는 중국에서 독자적으로 설계, 제조 및 설치했습니다. 저에너지 소비, 고용량, 높은 안정성을 갖춘 흡수제를 개발하여 석탄 화력 발전소의 연도 가스에서 이산화탄소를 고순도로 포집하여 산업 및 기타 환경에서 사용할 수 있도록 했습니다.</w:t>
            </w:r>
          </w:p>
        </w:tc>
      </w:tr>
    </w:tbl>
    <w:p>
      <w:pPr>
        <w:pStyle w:val="8"/>
        <w:rPr>
          <w:rFonts w:hint="eastAsia" w:ascii="TimesNewRomanPS-BoldMT" w:hAnsi="TimesNewRomanPS-BoldMT" w:cs="TimesNewRomanPS-BoldMT"/>
          <w:b/>
          <w:bCs/>
        </w:rPr>
      </w:pPr>
    </w:p>
    <w:p>
      <w:pPr>
        <w:pStyle w:val="8"/>
        <w:rPr>
          <w:rFonts w:hint="eastAsia"/>
        </w:rPr>
      </w:pPr>
      <w:r>
        <w:rPr>
          <w:rFonts w:ascii="TimesNewRomanPS-BoldMT" w:hAnsi="TimesNewRomanPS-BoldMT" w:cs="TimesNewRomanPS-BoldMT"/>
          <w:b/>
          <w:bCs/>
        </w:rPr>
        <w:t xml:space="preserve">전통 에너지와 새로운 에너지의 개발 조정. </w:t>
      </w:r>
      <w:r>
        <w:t xml:space="preserve">중국은 전통적인 에너지 산업을 통합 에너지 시스템으로 전환하고 있습니다. 자원이 풍부한 지역에 풍력-태양광-수력(저장) 및 풍력-태양광-석탄(저장) 하이브리드 시스템을 구현하기 위한 조치를 취했습니다. 탄광 산업 부지, 탄광 침하 지역, 발전소 유휴 공간, 석유 및 가스 채굴 지역 등에 새로운 에너지 발전 프로젝트가 건설되었습니다. 석유 및 가스 플랫폼에 친환경 전력을 공급하기 위해 해상 풍력 발전 단지를 개발하여 전통 에너지의 생산, 개발, 처리 및 전환을 위한 청정에너지를 공급하고 있습니다. 또한 파이프라인을 통한 수소 운송과 전통적인 석유 및 가스 주유소를 기반으로 석유, 가스, 전기, 수소를 공급하는 통합 에너지 서비스 스테이션을 구축하는 데 힘쓰고 있습니다.</w:t>
      </w: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 xml:space="preserve">패널 7 전통 에너지와 새로운 에너지의 통합</w:t>
            </w:r>
          </w:p>
        </w:tc>
      </w:tr>
      <w:tr>
        <w:tblPrEx>
          <w:tblLayout w:type="fixed"/>
          <w:tblCellMar>
            <w:top w:w="0" w:type="dxa"/>
            <w:left w:w="0" w:type="dxa"/>
            <w:bottom w:w="0" w:type="dxa"/>
            <w:right w:w="0" w:type="dxa"/>
          </w:tblCellMar>
        </w:tblPrEx>
        <w:trPr>
          <w:trHeight w:val="3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페트로차이나 길림 유전은 버려진 유정 스테이션과 주변 공터에 150MW 규모의 풍력 및 태양광 발전 프로젝트를 건설했습니다. 유전으로 전기를 공급하기 위해 설계된 이 프로젝트는 인근 유전의 전력망과 연결되어 있습니다. 운영 첫 해에 380GWh의 누적 발전량을 생산하여 유전의 전력 수요의 22%를 충족했습니다.</w:t>
            </w:r>
          </w:p>
          <w:p>
            <w:pPr>
              <w:pStyle w:val="11"/>
            </w:pPr>
            <w:r>
              <w:t xml:space="preserve">시노펙은 신장 쿠카에 중국 최초의 10,000톤 규모의 태양광 수소 프로젝트를 건설했습니다. 이 프로젝트의 태양광 발전 용량은 300MW, 수소 생산 용량은 연간 2만 톤, 수소 저장 용량은 21만 표준 입방미터입니다. 생산된 수소는 인근 시노펙의 현지 정유 및 화학 기업에 공급됩니다.</w:t>
            </w:r>
          </w:p>
          <w:p>
            <w:pPr>
              <w:pStyle w:val="11"/>
            </w:pPr>
            <w:r>
              <w:t xml:space="preserve">CNOOC의 하이유 관란은 중국 최초의 심해 부유식 풍력 발전 플랫폼으로, 설치 용량은 7MW입니다. 해저 케이블을 통해 웬창 유전 전력망에 연결됩니다. 연간 발전 용량은 22,000MWh에 달하며 유전의 전력 수요의 7%를 충족할 수 있습니다.</w:t>
            </w:r>
          </w:p>
        </w:tc>
      </w:tr>
    </w:tbl>
    <w:p>
      <w:pPr>
        <w:pStyle w:val="8"/>
        <w:rPr>
          <w:rFonts w:hint="eastAsia"/>
        </w:rPr>
      </w:pPr>
    </w:p>
    <w:p>
      <w:pPr>
        <w:pStyle w:val="9"/>
      </w:pPr>
      <w:r>
        <w:t xml:space="preserve">3. 에너지 시스템의 복원력 향상</w:t>
      </w:r>
    </w:p>
    <w:p>
      <w:pPr>
        <w:pStyle w:val="8"/>
      </w:pPr>
      <w:r>
        <w:t xml:space="preserve">신에너지의 대규모 개발과 전력 부하 특성의 변화로 중국의 에너지 및 전력 시스템은 더 많은 운영 불확실성에 직면하고 있습니다. 따라서 국가는 시스템의 규제 능력을 높이고 안전 운영 능력을 지속적으로 개선하며 위험에 대한 저항력을 강화하는 것이 중요합니다.</w:t>
      </w:r>
    </w:p>
    <w:p>
      <w:pPr>
        <w:pStyle w:val="8"/>
        <w:rPr>
          <w:rFonts w:hint="eastAsia"/>
        </w:rPr>
      </w:pPr>
      <w:r>
        <w:rPr>
          <w:rFonts w:ascii="TimesNewRomanPS-BoldMT" w:hAnsi="TimesNewRomanPS-BoldMT" w:cs="TimesNewRomanPS-BoldMT"/>
          <w:b/>
          <w:bCs/>
        </w:rPr>
        <w:t xml:space="preserve">에너지 네트워크 연결성 강화</w:t>
      </w:r>
      <w:r>
        <w:t xml:space="preserve">. 자원 배분을 최적화하고 대규모 장거리 에너지 송전 용량을 늘리기 위해 중국은 국가 간 에너지 네트워크 구축에 박차를 가하고 있습니다. 중국 북부, 중부, 남부의 성 및 지역에 걸쳐 약 300GW 용량의 동서 송전 통로 3개를 건설했으며, 20개의 초고압 직류(UHVDC) 송전 채널을 완성했습니다. 또한 주요 지역 전력망의 기능을 개선하고 지역 간 효과적인 상호 연결을 통해 여러 지역 전력망을 중심으로 한 전력망 프레임워크를 형성했습니다. 통합된 국가 파이프라인 네트워크는 지역 간 석유 및 가스 할당과 공급을 최적화하고 조정하기 위해 구체화되었습니다. 2023년 말까지 중국의 장거리 석유 및 가스 파이프라인 네트워크의 총 길이는 약 19만 킬로미터에 달했습니다. 여기에는 33,000킬로미터의 원유 파이프라인, 33,000킬로미터의 정유 파이프라인, 124,000킬로미터의 천연가스 파이프라인이 포함됩니다.</w:t>
      </w:r>
    </w:p>
    <w:p>
      <w:pPr>
        <w:pStyle w:val="8"/>
        <w:rPr>
          <w:rFonts w:hint="eastAsia"/>
        </w:rPr>
      </w:pP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 xml:space="preserve">패널 8 동서 간 전력 전송 최적화 </w:t>
            </w:r>
            <w:r>
              <w:br w:type="textWrapping"/>
            </w:r>
            <w:r>
              <w:t xml:space="preserve">국가 간 리소스 할당</w:t>
            </w:r>
          </w:p>
        </w:tc>
      </w:tr>
      <w:tr>
        <w:tblPrEx>
          <w:tblLayout w:type="fixed"/>
          <w:tblCellMar>
            <w:top w:w="0" w:type="dxa"/>
            <w:left w:w="0" w:type="dxa"/>
            <w:bottom w:w="0" w:type="dxa"/>
            <w:right w:w="0" w:type="dxa"/>
          </w:tblCellMar>
        </w:tblPrEx>
        <w:trPr>
          <w:trHeight w:val="3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동서 송전 프로젝트는 중국이 안전하고 안정적인 전력 공급을 보장하고 친환경 및 저탄소 에너지로 전환하며 전력 자원 배분을 최적화하는 데 효과적인 수단입니다.</w:t>
            </w:r>
          </w:p>
          <w:p>
            <w:pPr>
              <w:pStyle w:val="11"/>
            </w:pPr>
            <w:r>
              <w:t xml:space="preserve">이 프로젝트를 통해 중국의 에너지 안보 역량이 강화되었습니다. 2023년 중국의 동서 간 송전 용량은 약 300GW로 2013년 대비 약 130% 증가했습니다. 2013년부터 2023년까지 10년간 이 프로젝트를 통해 송전된 누적 전력량은 9,000TWh를 넘어섰습니다.</w:t>
            </w:r>
          </w:p>
          <w:p>
            <w:pPr>
              <w:pStyle w:val="11"/>
            </w:pPr>
            <w:r>
              <w:t xml:space="preserve">이 프로젝트는 중국의 친환경 및 저탄소 전환을 촉진했습니다. 2023년 중국의 UHVDC 송전 채널을 통해 전송되는 재생 에너지의 비율은 55%를 넘어 서부 지역의 청정 에너지 자원의 전국적 배분을 최적화했습니다.</w:t>
            </w:r>
          </w:p>
          <w:p>
            <w:pPr>
              <w:pStyle w:val="11"/>
            </w:pPr>
            <w:r>
              <w:t xml:space="preserve">이 프로젝트는 에너지 자원을 활용하여 경제 성장을 촉진했습니다. 동서 지역 간 에너지 협력을 강화하여 서부 지역의 에너지 자원 강점을 중부와 동부 지역의 경제 및 사회 발전의 동력으로 효과적으로 전환했습니다.</w:t>
            </w:r>
          </w:p>
          <w:p>
            <w:pPr>
              <w:pStyle w:val="11"/>
            </w:pPr>
            <w:r>
              <w:t xml:space="preserve">이 프로젝트를 통해 전력 기술과 장비가 개선되었습니다. 중국은 UHV 핵심 장비의 제조 및 엔지니어링 기술을 대부분 습득했습니다. 중국은 동서 송전 프로젝트의 지원을 받아 다수의 전력 기술 혁신 시범 프로젝트를 신속하게 시행하여 전국적으로 발전 및 송전 기술을 효과적으로 발전시켰습니다.</w:t>
            </w:r>
          </w:p>
        </w:tc>
      </w:tr>
    </w:tbl>
    <w:p>
      <w:pPr>
        <w:pStyle w:val="8"/>
        <w:rPr>
          <w:rFonts w:hint="eastAsia"/>
        </w:rPr>
      </w:pPr>
    </w:p>
    <w:p>
      <w:pPr>
        <w:pStyle w:val="8"/>
      </w:pPr>
      <w:r>
        <w:rPr>
          <w:rFonts w:ascii="TimesNewRomanPS-BoldMT" w:hAnsi="TimesNewRomanPS-BoldMT" w:cs="TimesNewRomanPS-BoldMT"/>
          <w:b/>
          <w:bCs/>
        </w:rPr>
        <w:t xml:space="preserve">비상 대응을 위한 에너지 비축량 개선. </w:t>
      </w:r>
      <w:r>
        <w:t xml:space="preserve">중국은 석탄 비축 시스템을 더욱 개선하여 기업 비축을 주축으로 하고 정부 비축을 보조로 하며 제품 비축과 용량 비축을 적절히 조합했습니다. 정부와 기업의 비축량을 통합하고 전략 및 상업 비축량을 모두 개발하는 석유 비축 시스템을 구축했습니다. 지방 정부, 가스 공급업체, 파이프라인 운송 기업, 도시가스 서비스가 각자의 책임을 다하면서 다단계 천연가스 저장 및 피크 절감 시스템을 구축하는 데 빠른 진전이 이루어지고 있습니다. 지난 10년 동안 중국의 천연가스 저장 용량은 두 배로 증가했습니다. 중국은 예측 및 조기 경보 메커니즘을 구축하고, 비상 계획을 수립하고, 비상 사태에 대비한 훈련 시스템과 에너지 파견 메커니즘을 개선하여 에너지 비상 대응 역량을 확대했습니다.</w:t>
      </w:r>
    </w:p>
    <w:p>
      <w:pPr>
        <w:pStyle w:val="8"/>
        <w:rPr>
          <w:rFonts w:hint="eastAsia" w:ascii="TimesNewRomanPS-BoldMT" w:hAnsi="TimesNewRomanPS-BoldMT" w:cs="TimesNewRomanPS-BoldMT"/>
          <w:b/>
          <w:bCs/>
        </w:rPr>
      </w:pP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 xml:space="preserve">패널 9 V2G 기술 살펴보기</w:t>
            </w:r>
          </w:p>
        </w:tc>
      </w:tr>
      <w:tr>
        <w:tblPrEx>
          <w:tblLayout w:type="fixed"/>
          <w:tblCellMar>
            <w:top w:w="0" w:type="dxa"/>
            <w:left w:w="0" w:type="dxa"/>
            <w:bottom w:w="0" w:type="dxa"/>
            <w:right w:w="0" w:type="dxa"/>
          </w:tblCellMar>
        </w:tblPrEx>
        <w:trPr>
          <w:trHeight w:val="3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중국은 신에너지 차량(NEV)과 전력망 간의 양방향 충전을 적극적으로 모색하고 있습니다. 이 기술은 전력 공급망에 연결된 충전 및 스와핑 시설을 활용하여 NEV 배터리의 유연한 조절 기능을 활용합니다.</w:t>
            </w:r>
          </w:p>
          <w:p>
            <w:pPr>
              <w:pStyle w:val="11"/>
            </w:pPr>
            <w:r>
              <w:t xml:space="preserve">베이징의 중국 RE 센터 V2G 데모 스테이션은 중국 최초의 상업용 V2G 프로젝트입니다. 각각 15kW의 전력 용량을 갖춘 9개의 직류 충전 및 방전 파일은 V2G 기술을 통해 센터로 전기를 방전하여 NEV 사용자의 수입을 늘리는 동시에 센터의 피크 전력 부하를 줄이고 전력망의 안정적인 운영에 기여합니다.</w:t>
            </w:r>
          </w:p>
          <w:p>
            <w:pPr>
              <w:pStyle w:val="11"/>
            </w:pPr>
            <w:r>
              <w:t xml:space="preserve">장쑤성 우시의 V2G 시범 프로젝트는 중국에서 가장 큰 규모입니다. 피크 수요 시간대에 메가와트급 전기를 방전하기 위해 각각 60kW의 전력 용량을 갖춘 50개의 DC 충전 및 방전 파일로 구성된 태양광 발전 저장 및 충전소입니다.</w:t>
            </w:r>
          </w:p>
        </w:tc>
      </w:tr>
    </w:tbl>
    <w:p>
      <w:pPr>
        <w:pStyle w:val="8"/>
        <w:rPr>
          <w:rFonts w:hint="eastAsia" w:ascii="TimesNewRomanPS-BoldMT" w:hAnsi="TimesNewRomanPS-BoldMT" w:cs="TimesNewRomanPS-BoldMT"/>
          <w:b/>
          <w:bCs/>
        </w:rPr>
      </w:pPr>
    </w:p>
    <w:p>
      <w:pPr>
        <w:pStyle w:val="8"/>
      </w:pPr>
      <w:r>
        <w:rPr>
          <w:rFonts w:ascii="TimesNewRomanPS-BoldMT" w:hAnsi="TimesNewRomanPS-BoldMT" w:cs="TimesNewRomanPS-BoldMT"/>
          <w:b/>
          <w:bCs/>
        </w:rPr>
        <w:t xml:space="preserve">에너지 시스템의 규제 용량 증가. </w:t>
      </w:r>
      <w:r>
        <w:t xml:space="preserve">중국은 유연한 부하 조절 기능을 갖추기 위해 석탄 화력 발전소를 업그레이드했습니다. 또한 천연가스 피크 절감 발전소를 건설하고 새로운 에너지 저장 수단을 다양화하기 위한 노력의 일환으로 양수발전소 건설에 박차를 가하고 있습니다. 2023년 말까지 유연한 부하 조절 기능을 갖춘 석탄 화력 발전소의 설치 용량은 700GW에 육박하고, 양수 수력발전소의 설치 용량은 50,940MW에 달했습니다. 중국의 새로운 에너지 저장 프로젝트의 최대 출력 전력은 31,390MW, 총 에너지 저장 용량은 66,870MWh이며 평균 저장 시간은 2.1시간입니다. 중국은 전력망 간 상호 보완성과 상호 지원을 강화하고 조정 가능한 전력 부하를 확대하고 V2G(차량 대 그리드) 기술을 개선하는 등의 방법으로 수요 측 대응을 활용하고 있습니다.</w:t>
      </w:r>
    </w:p>
    <w:p>
      <w:pPr>
        <w:pStyle w:val="8"/>
      </w:pPr>
    </w:p>
    <w:p>
      <w:pPr>
        <w:pStyle w:val="8"/>
      </w:pPr>
    </w:p>
    <w:p>
      <w:pPr>
        <w:pStyle w:val="7"/>
      </w:pPr>
      <w:r>
        <w:t xml:space="preserve">IV. 에너지 부문에서 새로운 양질의 생산력 개발</w:t>
      </w:r>
    </w:p>
    <w:p>
      <w:pPr>
        <w:pStyle w:val="8"/>
      </w:pPr>
      <w:r>
        <w:t xml:space="preserve">전 세계적으로 친환경 및 저탄소 에너지로의 전환이 빠르게 진행되면서 기술의 중요성이 강조되고 있습니다. 기술 혁신은 에너지 부문에서 새로운 양질의 생산력 개발을 이끄는 에너지 전환의 촉진제입니다. 중국은 이 부문에서 혁신 중심의 개발 전략을 실행하기 위한 노력을 강화하고 있습니다. 경쟁력 있는 산업을 활용하고, 전통 산업을 혁신 및 업그레이드하며, 미래 산업 육성을 가속화함으로써 중국은 산업 및 혁신 사슬의 발전을 더 잘 조정하고 에너지 전환의 혁신에 박차를 가하고 있습니다.</w:t>
      </w:r>
    </w:p>
    <w:p>
      <w:pPr>
        <w:pStyle w:val="9"/>
      </w:pPr>
      <w:r>
        <w:t xml:space="preserve">1. 에너지 기술 혁신을 위한 제도 개선</w:t>
      </w:r>
    </w:p>
    <w:p>
      <w:pPr>
        <w:pStyle w:val="8"/>
        <w:rPr>
          <w:spacing w:val="-1"/>
        </w:rPr>
      </w:pPr>
      <w:r>
        <w:rPr>
          <w:spacing w:val="-1"/>
        </w:rPr>
        <w:t xml:space="preserve">중국은 에너지 기술의 주요 동력으로 혁신을 확립하기 위해 최상위 설계와 전반적인 계획을 개선하고 있습니다. 기업의 역할을 강화하고 생산, 교육, 연구 및 응용 간의 협력을 확대하는 시너지 효과와 시장 지향적인 혁신 시스템을 구축하기 위한 노력을 가속화하고 있습니다. </w:t>
      </w:r>
    </w:p>
    <w:p>
      <w:pPr>
        <w:pStyle w:val="8"/>
      </w:pPr>
      <w:r>
        <w:rPr>
          <w:rFonts w:ascii="TimesNewRomanPS-BoldMT" w:hAnsi="TimesNewRomanPS-BoldMT" w:cs="TimesNewRomanPS-BoldMT"/>
          <w:b/>
          <w:bCs/>
        </w:rPr>
        <w:t xml:space="preserve">시너지 기술 혁신 강화. </w:t>
      </w:r>
      <w:r>
        <w:t xml:space="preserve">중국은 주요 국가 원자력, 석유 및 가스 프로젝트와 첨단 재생 에너지 기술, 에너지 저장, 스마트 전력망, 수소 에너지, 깨끗하고 효율적인 석탄 사용을 위한 주요 연구 개발 프로그램에 중점을 두고 기술 혁신을 위한 최상위 설계를 개선하고 계획을 수립했습니다. 또한 국가에너지국 산하의 주요 국가 에너지 연구소, 국가 엔지니어링 연구 센터, R&amp;D 혁신 플랫폼을 구축하고 개선하기 위한 노력도 계속되고 있습니다. 중국은 주요 에너지 프로젝트를 통해 기술 혁신과 기술 발전의 적용을 가속화하고 중앙 정부와 지방 정부, 정부와 기업, 대학과 기업, 연구 기관 간의 협력을 통해 주요 에너지 기술 및 장비의 혁신을 위한 최적화된 협업 모델을 구축했습니다. </w:t>
      </w:r>
    </w:p>
    <w:p>
      <w:pPr>
        <w:pStyle w:val="8"/>
      </w:pPr>
      <w:r>
        <w:rPr>
          <w:rFonts w:ascii="TimesNewRomanPS-BoldMT" w:hAnsi="TimesNewRomanPS-BoldMT" w:cs="TimesNewRomanPS-BoldMT"/>
          <w:b/>
          <w:bCs/>
        </w:rPr>
        <w:t xml:space="preserve">혁신가에게 활력을 불어넣다. </w:t>
      </w:r>
      <w:r>
        <w:t xml:space="preserve">중국은 기술 혁신에서 에너지 기업의 주요 역할을 강화했습니다. 선도 기업들이 혁신 컨소시엄을 구축하여 혁신의 원천이자 현대 산업 체인의 리더 역할을 하도록 장려하고 있습니다. 주요 에너지 기술 프로젝트를 수행할 최적의 후보자를 선정하기 위한 공개 경쟁 메커니즘과 최적의 경로를 찾고 최적의 결과를 달성하기 위한 다중 팀 연구 메커니즘을 채택하여 혁신의 핵심 R&amp;D 플레이어에게 동기를 부여하고 있습니다. 주요 기술 및 장비에서 최초로 돌파구를 마련하는 사람에게 인센티브를 제공하는 정책을 개선하고, 주요 기술 및 장비의 시범 적용을 신속하게 추진했습니다. 또한 혁신 기업이 혁신의 허브로 성장할 수 있도록 우대 정책과 더 나은 공공 서비스를 지원합니다.</w:t>
      </w:r>
    </w:p>
    <w:p>
      <w:pPr>
        <w:pStyle w:val="9"/>
      </w:pPr>
      <w:r>
        <w:t xml:space="preserve">2. 에너지 전환을 위한 기술 혁신 가속화</w:t>
      </w:r>
    </w:p>
    <w:p>
      <w:pPr>
        <w:pStyle w:val="8"/>
      </w:pPr>
      <w:r>
        <w:t xml:space="preserve">중국은 에너지 분야의 첨단 기술, 핵심 분야 및 전략적 수요에 초점을 맞춰 기술 혁신을 달성하고 새로운 에너지 기술과 산업을 개발하며 전통적인 에너지에서 친환경 에너지로의 전환을 촉진하기 위한 노력을 강화하고 있습니다.</w:t>
      </w:r>
    </w:p>
    <w:p>
      <w:pPr>
        <w:pStyle w:val="8"/>
      </w:pPr>
      <w:r>
        <w:rPr>
          <w:rFonts w:ascii="TimesNewRomanPS-BoldMT" w:hAnsi="TimesNewRomanPS-BoldMT" w:cs="TimesNewRomanPS-BoldMT"/>
          <w:b/>
          <w:bCs/>
        </w:rPr>
        <w:t xml:space="preserve">친환경 에너지 기술 개발.</w:t>
      </w:r>
      <w:r>
        <w:t xml:space="preserve"> 중국은 풍력 및 태양광 PV 장비의 R&amp;D, 설계, 통합 제조를 위한 완벽한 산업 체인을 구축했습니다. 결정질 실리콘/페로브스카이트 PV 셀 기술의 높은 변환 효율은 여러 차례 세계 최고 기록을 세웠으며, 대량 생산 중인 첨단 결정질 실리콘 PV 셀의 변환 효율은 25%를 넘어섰습니다. 육상 풍력 터빈의 단일 유닛 최대 용량은 이제 10MW를 초과했으며, 단일 유닛 용량이 18MW인 해상 풍력 터빈이 생산 라인에서 출시되었습니다. 또한 중국은 설계와 건설에서 장비 제조에 이르기까지 수력 발전 산업 체인 전반에 걸쳐 선두주자가 되었습니다. 바이허탄 수력발전소에는 각각 1,000MW의 설비용량을 갖춘 세계 최대 규모의 수력 발전소가 가동 중입니다. 중국은 화룽 원전과 궈허 원전으로 대표되는 3세대 가압경수로(PWR)와 4세대 고온 가스 냉각 원자로의 원자력 발전 기술을 모두 마스터했습니다. 소형 모듈형 PWR 실증 프로젝트인 링롱 원전도 착공에 들어갔습니다. 또한 중국은 스마트 그리드 기술 분야의 세계적인 선도국이며, 다수의 유연한 직류 송전 프로젝트를 구축했습니다. 또한 새로운 에너지 저장 및 수소 에너지 기술 개발에도 박차를 가하고 있습니다.</w:t>
      </w:r>
    </w:p>
    <w:p>
      <w:pPr>
        <w:pStyle w:val="8"/>
        <w:rPr>
          <w:rFonts w:hint="eastAsia" w:ascii="TimesNewRomanPS-BoldMT" w:hAnsi="TimesNewRomanPS-BoldMT" w:cs="TimesNewRomanPS-BoldMT"/>
          <w:b/>
          <w:bCs/>
        </w:rPr>
      </w:pP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 xml:space="preserve">패널 10 새로운 에너지 저장 장치 개발 가속화 </w:t>
            </w:r>
            <w:r>
              <w:br w:type="textWrapping"/>
            </w:r>
            <w:r>
              <w:t xml:space="preserve">및 수소 에너지 기술</w:t>
            </w:r>
          </w:p>
        </w:tc>
      </w:tr>
      <w:tr>
        <w:tblPrEx>
          <w:tblLayout w:type="fixed"/>
          <w:tblCellMar>
            <w:top w:w="0" w:type="dxa"/>
            <w:left w:w="0" w:type="dxa"/>
            <w:bottom w:w="0" w:type="dxa"/>
            <w:right w:w="0" w:type="dxa"/>
          </w:tblCellMar>
        </w:tblPrEx>
        <w:trPr>
          <w:trHeight w:val="3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rPr>
                <w:rFonts w:ascii="TimesNewRomanPS-BoldMT" w:hAnsi="TimesNewRomanPS-BoldMT" w:cs="TimesNewRomanPS-BoldMT"/>
                <w:b/>
                <w:bCs/>
              </w:rPr>
              <w:t xml:space="preserve">새로운 에너지 저장: </w:t>
            </w:r>
            <w:r>
              <w:t xml:space="preserve">2016년부터 중국의 새로운 에너지 저장장치는 연구 개발에서 상업적 적용으로 전환되고 있습니다. 이러한 시스템의 기술은 점점 더 다양해지고 있습니다. 리튬 이온 배터리는 여전히 가장 큰 저장 용량을 보유하고 있지만 압축 공기 에너지 저장, 플라이휠 에너지 저장 등 물리적 에너지 저장 기술과 플로우 배터리, 나트륨 이온 배터리 등 전기 화학 에너지 저장 기술도 빠르게 발전하고 있습니다. 현재 300㎿ 압축 공기 에너지 저장, 100㎿ 플로우 배터리 에너지 저장, 독립형 MW급 플라이휠 에너지 저장, 중력 에너지 저장 등 여러 가지 새로운 에너지 저장 기술이 실증 단계에 있으며 꾸준히 발전하고 있습니다. 독립형 에너지 저장장치와 공유형 에너지 저장장치의 설치 용량이 증가하고 있으며, 현재 산업 및 상업용 에너지 저장장치의 개발이 붐을 이루고 있습니다.</w:t>
            </w:r>
          </w:p>
          <w:p>
            <w:pPr>
              <w:pStyle w:val="11"/>
            </w:pPr>
            <w:r>
              <w:rPr>
                <w:rFonts w:ascii="TimesNewRomanPS-BoldMT" w:hAnsi="TimesNewRomanPS-BoldMT" w:cs="TimesNewRomanPS-BoldMT"/>
                <w:b/>
                <w:bCs/>
              </w:rPr>
              <w:t xml:space="preserve">수소 에너지:</w:t>
            </w:r>
            <w:r>
              <w:t xml:space="preserve"> 중국은 알칼리성 물 전기분해로 수소를 생산하는 기술 분야에서 세계 선두를 달리고 있습니다. 시간당 3,000 표준 입방미터의 수소를 생산할 수 있는 알칼리 전해조는 개발되었고, MW급 양성자 교환막(PEM) 전해조는 철저한 엔지니어링 검증 테스트를 거치고 있습니다.</w:t>
            </w:r>
          </w:p>
        </w:tc>
      </w:tr>
    </w:tbl>
    <w:p>
      <w:pPr>
        <w:pStyle w:val="8"/>
        <w:rPr>
          <w:rFonts w:hint="eastAsia" w:ascii="TimesNewRomanPS-BoldMT" w:hAnsi="TimesNewRomanPS-BoldMT" w:cs="TimesNewRomanPS-BoldMT"/>
          <w:b/>
          <w:bCs/>
        </w:rPr>
      </w:pPr>
    </w:p>
    <w:p>
      <w:pPr>
        <w:pStyle w:val="8"/>
        <w:rPr>
          <w:rFonts w:hint="eastAsia" w:ascii="TimesNewRomanPS-BoldMT" w:hAnsi="TimesNewRomanPS-BoldMT" w:cs="TimesNewRomanPS-BoldMT"/>
          <w:b/>
          <w:bCs/>
        </w:rPr>
      </w:pPr>
    </w:p>
    <w:p>
      <w:pPr>
        <w:pStyle w:val="8"/>
      </w:pPr>
      <w:r>
        <w:rPr>
          <w:rFonts w:ascii="TimesNewRomanPS-BoldMT" w:hAnsi="TimesNewRomanPS-BoldMT" w:cs="TimesNewRomanPS-BoldMT"/>
          <w:b/>
          <w:bCs/>
        </w:rPr>
        <w:t xml:space="preserve">전통적인 에너지원의 깨끗하고 효율적인 활용도 향상.</w:t>
      </w:r>
      <w:r>
        <w:t xml:space="preserve"> 중국은 석탄 화력 발전 산업에 초임계 및 초초임계 발전과 심부 피크 절감 기술을 적용하여 환경 및 에너지 효율 지표를 세계 최고 수준으로 끌어올리고 있습니다. 이산화탄소 주입, 수평 시추, 셰일가스 개발 등 첨단 석유 및 가스 탐사 및 생산 기술이 산업화되었고 심해 석유 및 가스 탐사 기술에서도 상당한 진전을 이루었습니다. 세계 최초의 10만 톤급 심해 반잠수식 석유 생산 및 저장 플랫폼인 셴하이-1이 가동되어 석유 및 가스 산업의 친환경 전환과 업그레이드를 촉진하고 있습니다.</w:t>
      </w:r>
    </w:p>
    <w:p>
      <w:pPr>
        <w:pStyle w:val="9"/>
      </w:pPr>
      <w:r>
        <w:t xml:space="preserve">3. 에너지 부문의 업그레이드를 위한 새로운 성장 포인트 창출</w:t>
      </w:r>
    </w:p>
    <w:p>
      <w:pPr>
        <w:pStyle w:val="8"/>
      </w:pPr>
      <w:r>
        <w:t xml:space="preserve">중국은 에너지 부문에 디지털 기술을 적극적으로 통합하고 새로운 기술, 비즈니스 형태 및 모델을 육성하여 에너지 부문을 업그레이드하고 산업 체인을 현대화하고 있습니다.</w:t>
      </w:r>
    </w:p>
    <w:p>
      <w:pPr>
        <w:pStyle w:val="8"/>
      </w:pPr>
      <w:r>
        <w:rPr>
          <w:rFonts w:ascii="TimesNewRomanPS-BoldMT" w:hAnsi="TimesNewRomanPS-BoldMT" w:cs="TimesNewRomanPS-BoldMT"/>
          <w:b/>
          <w:bCs/>
        </w:rPr>
        <w:t xml:space="preserve">디지털 및 지능형 기술로 에너지 부문을 혁신하고 업그레이드합니다</w:t>
      </w:r>
      <w:r>
        <w:t xml:space="preserve">. 중국은 발전소, 석유 및 가스전, 탄광의 에너지 인프라를 업그레이드하고 기업의 의사 결정, 운영 효율성, 서비스 품질을 개선하기 위해 디지털 및 지능형 기술 적용에 박차를 가하고 있습니다. 발전-그리드-부하-저장 체인에 걸쳐 모든 주체 간에 정보를 공유할 수 있는 새로운 전력 시스템 구축에 박차를 가하고 있습니다. 이를 통해 전방위적 인식, 전반적인 제어 가능성, 송배전망 간의 효과적인 조정, 전력 공급의 실시간 조절이 가능해져 전력 자원 배분의 효율성과 시스템의 운영 안전성이 향상됩니다. 디지털 최종 사용 생태계를 조성하고, 스마트 에너지 도시와 커뮤니티를 구축하고, 에너지 소비 시스템의 조정된 규제와 지능 수준을 개선하고, 스마트 에너지 사용을 위한 새로운 모델을 발굴하고, 디지털 경제로 친환경 소비를 업그레이드하기 위한 계획이 마련되어 있습니다.</w:t>
      </w:r>
    </w:p>
    <w:p>
      <w:pPr>
        <w:pStyle w:val="8"/>
        <w:rPr>
          <w:rFonts w:hint="eastAsia" w:ascii="TimesNewRomanPS-BoldMT" w:hAnsi="TimesNewRomanPS-BoldMT" w:cs="TimesNewRomanPS-BoldMT"/>
          <w:b/>
          <w:bCs/>
        </w:rPr>
      </w:pP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 xml:space="preserve">패널 11 에너지 분야의 더 빠른 디지털 및 지능형 혁신</w:t>
            </w:r>
          </w:p>
        </w:tc>
      </w:tr>
      <w:tr>
        <w:tblPrEx>
          <w:tblLayout w:type="fixed"/>
          <w:tblCellMar>
            <w:top w:w="0" w:type="dxa"/>
            <w:left w:w="0" w:type="dxa"/>
            <w:bottom w:w="0" w:type="dxa"/>
            <w:right w:w="0" w:type="dxa"/>
          </w:tblCellMar>
        </w:tblPrEx>
        <w:trPr>
          <w:trHeight w:val="3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에너지 분야의 디지털 및 지능형 혁신은 에너지 기업이 생산 효율성을 개선하고 생산 비용을 낮추며 안정적인 에너지 공급을 확보하는 데 도움이 되었습니다.</w:t>
            </w:r>
          </w:p>
          <w:p>
            <w:pPr>
              <w:pStyle w:val="11"/>
            </w:pPr>
            <w:r>
              <w:rPr>
                <w:rFonts w:ascii="TimesNewRomanPS-BoldMT" w:hAnsi="TimesNewRomanPS-BoldMT" w:cs="TimesNewRomanPS-BoldMT"/>
                <w:b/>
                <w:bCs/>
              </w:rPr>
              <w:t xml:space="preserve">스마트 탄광</w:t>
            </w:r>
            <w:r>
              <w:t xml:space="preserve">. 중국은 현지 상황에 맞는 스마트 탄광 건설에 박차를 가하고 있습니다. 스마트 광산 기술은 다양한 시나리오에 적용되어 여러 모델 스마트 광산이 구축되었습니다. 2023년 말까지 2,500개 이상의 스마트 광산 사이트가 건설되었습니다.</w:t>
            </w:r>
          </w:p>
          <w:p>
            <w:pPr>
              <w:pStyle w:val="11"/>
            </w:pPr>
            <w:r>
              <w:rPr>
                <w:rFonts w:ascii="TimesNewRomanPS-BoldMT" w:hAnsi="TimesNewRomanPS-BoldMT" w:cs="TimesNewRomanPS-BoldMT"/>
                <w:b/>
                <w:bCs/>
              </w:rPr>
              <w:t xml:space="preserve">스마트 유전 및 가스전</w:t>
            </w:r>
            <w:r>
              <w:t xml:space="preserve">. 페트로차이나는 245,000개의 디지털 유정과 26,100개의 디지털 필드 스테이션을 구축했습니다. 창칭 유전은 중국 최대의 석유 및 가스 생산을 위한 사물 인터넷 플랫폼을 구축했습니다. 석유 및 가스 유정과 유전 스테이션의 디지털화율은 98.2%와 100%에 달하며, 유전 스테이션의 83% 이상이 무인화되었습니다.</w:t>
            </w:r>
          </w:p>
          <w:p>
            <w:pPr>
              <w:pStyle w:val="11"/>
            </w:pPr>
            <w:r>
              <w:rPr>
                <w:rFonts w:ascii="TimesNewRomanPS-BoldMT" w:hAnsi="TimesNewRomanPS-BoldMT" w:cs="TimesNewRomanPS-BoldMT"/>
                <w:b/>
                <w:bCs/>
              </w:rPr>
              <w:t xml:space="preserve">스마트 발전소</w:t>
            </w:r>
            <w:r>
              <w:t xml:space="preserve">. 주요 발전 그룹은 클라우드 플랫폼을 개발했습니다. 지능형 장비와 기술은 이제 발전기의 모니터링, 운영, 점검은 물론 연료 관리와 안전 관리에도 널리 사용되고 있습니다. 대부분의 신규 발전기와 일부 기존 발전기에는 지능형 인프라가 장착되어 있습니다.</w:t>
            </w:r>
          </w:p>
          <w:p>
            <w:pPr>
              <w:pStyle w:val="11"/>
            </w:pPr>
            <w:r>
              <w:rPr>
                <w:rFonts w:ascii="TimesNewRomanPS-BoldMT" w:hAnsi="TimesNewRomanPS-BoldMT" w:cs="TimesNewRomanPS-BoldMT"/>
                <w:b/>
                <w:bCs/>
              </w:rPr>
              <w:t xml:space="preserve">스마트 그리드</w:t>
            </w:r>
            <w:r>
              <w:t xml:space="preserve">. 지능형 전력 배전 시스템이 본격적으로 가동되고 있습니다. 대부분의 변전소는 이제 무인화되고 원격 제어를 통해 관리되며 배전 자동화가 90%를 넘어섰습니다. 로봇과 드론은 그리드 검사에 널리 사용되고 있습니다. 세계 최대 규모의 광역 동적 그리드 모니터링 시스템이 구축되었으며, 새로운 전력 시스템의 디지털, 자동화 및 정보화 요구를 지원하기 위해 새로운 에너지 클라우드 및 전력 수요 측 관리와 같은 플랫폼이 지속적으로 개선되고 있습니다.</w:t>
            </w:r>
          </w:p>
        </w:tc>
      </w:tr>
    </w:tbl>
    <w:p>
      <w:pPr>
        <w:pStyle w:val="8"/>
        <w:rPr>
          <w:rFonts w:hint="eastAsia" w:ascii="TimesNewRomanPS-BoldMT" w:hAnsi="TimesNewRomanPS-BoldMT" w:cs="TimesNewRomanPS-BoldMT"/>
          <w:b/>
          <w:bCs/>
        </w:rPr>
      </w:pPr>
    </w:p>
    <w:p>
      <w:pPr>
        <w:pStyle w:val="8"/>
        <w:rPr>
          <w:rFonts w:hint="eastAsia" w:ascii="TimesNewRomanPS-BoldMT" w:hAnsi="TimesNewRomanPS-BoldMT" w:cs="TimesNewRomanPS-BoldMT"/>
          <w:b/>
          <w:bCs/>
        </w:rPr>
      </w:pPr>
    </w:p>
    <w:p>
      <w:pPr>
        <w:pStyle w:val="8"/>
      </w:pPr>
      <w:r>
        <w:rPr>
          <w:rFonts w:ascii="TimesNewRomanPS-BoldMT" w:hAnsi="TimesNewRomanPS-BoldMT" w:cs="TimesNewRomanPS-BoldMT"/>
          <w:b/>
          <w:bCs/>
        </w:rPr>
        <w:t xml:space="preserve">에너지 부문에서 새로운 비즈니스 형태와 모델 육성. </w:t>
      </w:r>
      <w:r>
        <w:t xml:space="preserve">중국은 발전, 그리드 인프라, 부하 관리를 위한 자원을 최적화하고 통합하여 발전-그리드-부하-저장 체인 전반의 긴밀한 연결, 조정 및 상호 작용을 기반으로 새로운 전력 공급 모델을 구축했습니다. 스마트 마이크로그리드는 산업, 운송, 건설 및 기타 부문의 다양한 시나리오를 위해 구축되어 새로운 에너지의 지역 소비를 가능하게 합니다. 전력 시스템의 조정 능력을 높이기 위해 가상 발전소가 만들어졌고, 천연가스 활용을 위한 냉난방 및 전력 시스템, 지열, 분산형 신에너지, 새로운 에너지 저장, 폐열 활용 등 종합적인 에너지 효율성을 개선하기 위해 새로운 통합 에너지 서비스 모델이 도입되었습니다.</w:t>
      </w:r>
    </w:p>
    <w:p>
      <w:pPr>
        <w:pStyle w:val="8"/>
      </w:pP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 xml:space="preserve">패널 12 에너지 부문에서 성장하는 새로운 비즈니스 형태와 모델</w:t>
            </w:r>
          </w:p>
        </w:tc>
      </w:tr>
      <w:tr>
        <w:tblPrEx>
          <w:tblLayout w:type="fixed"/>
          <w:tblCellMar>
            <w:top w:w="0" w:type="dxa"/>
            <w:left w:w="0" w:type="dxa"/>
            <w:bottom w:w="0" w:type="dxa"/>
            <w:right w:w="0" w:type="dxa"/>
          </w:tblCellMar>
        </w:tblPrEx>
        <w:trPr>
          <w:trHeight w:val="3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내몽고 울란캅에 위치한 이 그리드 친화적 친환경 발전소는 1,700MW의 풍력 발전과 300MW의 태양광 발전, 최대 출력 550MW, 총 에너지 저장 용량 1,100MWh의 전기화학 에너지 저장 시스템을 갖추고 있습니다. 에너지 저장 조절 및 지능형 제어를 활용하여 제어 가능성과 조정 가능성을 실현하고 전체 전력 공급을 지원했습니다. 새로운 에너지를 완전히 수용하면서 피크 조절 성능을 개선하고 새로운 에너지로의 안전하고 안정적인 전환을 위한 경로를 모색했습니다.</w:t>
            </w:r>
          </w:p>
          <w:p>
            <w:pPr>
              <w:pStyle w:val="11"/>
            </w:pPr>
            <w:r>
              <w:t xml:space="preserve">선전 가상 발전소의 지능형 배차 및 관리 클라우드 플랫폼은 관리 센터를 통해 정기적이고 시장 지향적인 운영을 실현하여 발전, 그리드 및 부하 간의 효과적인 상호 작용을 가능하게 합니다. 이 플랫폼은 약 2,050MW의 조정 가능한 전력 부하와 500MW 이상의 규제 용량을 갖춘 450MW 분산형 태양광 발전에 액세스할 수 있습니다. 2023년 이 플랫폼은 약 1,300MWh의 전력을 조절했습니다.</w:t>
            </w:r>
          </w:p>
          <w:p>
            <w:pPr>
              <w:pStyle w:val="11"/>
            </w:pPr>
            <w:r>
              <w:t xml:space="preserve">ABB 샤먼 허브의 그린 마이크로그리드 프로젝트는 스마트 전력 솔루션을 기반으로 풀팩터 DC 마이크로그리드 시스템을 구축하고 허브의 에너지 효율과 안정성을 개선하기 위해 오프그리드 운영 모델을 설계했습니다. 샤먼 가상 발전소 운영 플랫폼에 연결된 이 프로젝트는 유연한 부하 제어를 통해 전력 수요의 최대 20%까지 관리할 수 있습니다. 이 프로젝트는 전체 전력 소비 비용을 23% 절감했습니다.</w:t>
            </w:r>
          </w:p>
        </w:tc>
      </w:tr>
    </w:tbl>
    <w:p>
      <w:pPr>
        <w:pStyle w:val="8"/>
      </w:pPr>
    </w:p>
    <w:p>
      <w:pPr>
        <w:pStyle w:val="8"/>
      </w:pPr>
    </w:p>
    <w:p>
      <w:pPr>
        <w:pStyle w:val="8"/>
      </w:pPr>
    </w:p>
    <w:p>
      <w:pPr>
        <w:pStyle w:val="7"/>
      </w:pPr>
      <w:r>
        <w:t xml:space="preserve">V. 에너지 거버넌스 현대화</w:t>
      </w:r>
    </w:p>
    <w:p>
      <w:pPr>
        <w:pStyle w:val="8"/>
      </w:pPr>
      <w:r>
        <w:t xml:space="preserve">중국 에너지 부문의 질 높은 발전을 위해서는 에너지 거버넌스를 현대화하고 이러한 노력과 함께 새로운 에너지 생산 동력을 구축하기 위한 상당한 노력이 필요합니다. 심도 있는 개혁, 정책 개선, 전략 계획, 법치주의의 보장을 통해 중국은 자원 배분에서 시장의 결정적인 역할을 충분히 활용하는 동시에 정부의 역할을 더 잘 수행하도록 보장할 수 있었습니다. 이를 통해 친환경 저탄소 에너지 전환을 위한 환경을 조성할 수 있었습니다.</w:t>
      </w:r>
    </w:p>
    <w:p>
      <w:pPr>
        <w:pStyle w:val="9"/>
      </w:pPr>
      <w:r>
        <w:t xml:space="preserve">1. 효과적인 경쟁을 통한 공정하고 개방적인 에너지 시장 구축 </w:t>
      </w:r>
    </w:p>
    <w:p>
      <w:pPr>
        <w:pStyle w:val="8"/>
      </w:pPr>
      <w:r>
        <w:t xml:space="preserve">중국은 에너지 부문에서 시장 지향적 개혁을 추진했습니다. 효과적인 경쟁이 가능한 시장 구조와 시스템 개발을 가속화하고, 에너지 가격이 주로 시장의 힘에 의해 결정되도록 메커니즘을 개선했습니다. 또한 통일된 국가 시장을 구축하고, 에너지 시장 내 장벽을 제거하며, 원활하고 효율적인 시장 운영을 촉진하는 데 주력해 왔습니다. 이러한 노력은 안정적이고 공정하며 투명하고 예측 가능한 비즈니스 환경을 조성하기 위한 것입니다.</w:t>
      </w:r>
    </w:p>
    <w:p>
      <w:pPr>
        <w:pStyle w:val="8"/>
      </w:pPr>
      <w:r>
        <w:rPr>
          <w:rFonts w:ascii="TimesNewRomanPS-BoldMT" w:hAnsi="TimesNewRomanPS-BoldMT" w:cs="TimesNewRomanPS-BoldMT"/>
          <w:b/>
          <w:bCs/>
        </w:rPr>
        <w:t xml:space="preserve">에너지 부문에서 시장 지향적 개혁을 추진합니다.</w:t>
      </w:r>
      <w:r>
        <w:t xml:space="preserve"> 전력망 기업이 전력 구매와 판매에서 누렸던 독점적 지위가 상당 부분 해소되고 전력 생산과 판매에 시장 경쟁이 도입되었습니다. 이제 배전 부문에서 민간 투자가 환영받고 있으며, 그 결과 통합 에너지 서비스 제공업체, 가상 발전소, 새로운 에너지 저장 기업 등 새로운 시장 주체가 에너지 부문에서 번성하고 있습니다. 민간 기업은 중국 신에너지 부문의 주축이 되어 전체 풍력 터빈 제조업체와 거의 모든 태양광 장비 제조업체의 약 60%를 차지하고 있습니다. 석유 및 가스 기관의 개혁은 더욱 진전되고 있습니다. 국가 석유 및 가스 파이프라인 네트워크 공사가 설립되어 여러 기관이 다양한 경로를 통해 석유와 가스를 공급하고, 통합된 고효율 파이프라인 네트워크를 통해 운송하며, 완전 경쟁 시장에서 판매하는 환경이 점차 조성되고 있습니다.</w:t>
      </w:r>
    </w:p>
    <w:p>
      <w:pPr>
        <w:pStyle w:val="8"/>
      </w:pPr>
      <w:r>
        <w:rPr>
          <w:rFonts w:ascii="TimesNewRomanPS-BoldMT" w:hAnsi="TimesNewRomanPS-BoldMT" w:cs="TimesNewRomanPS-BoldMT"/>
          <w:b/>
          <w:bCs/>
        </w:rPr>
        <w:t xml:space="preserve">통합된 국가 에너지 시장 개발</w:t>
      </w:r>
      <w:r>
        <w:t xml:space="preserve">. 중국은 각 성 및 지역 간 거래를 효율적으로 조정하고 중장기 거래, 현물 거래, 부대 서비스 거래를 통합하는 통합 국가 전력 시장 시스템의 발전을 가속화하고 있습니다. 전기, 석유 및 가스, 석탄 거래 센터가 설립되어 완전한 기능을 갖춘 개방적이고 투명한 에너지 거래 플랫폼을 구축했습니다. 국가 총 전력 소비량 중 시장 거래 전력의 비중은 2016년 17%에서 2023년 61.4%로 증가했습니다. 시장 거래된 풍력 및 태양광 발전의 비중은 2023년 전체 풍력 및 태양광 발전의 47%를 차지했습니다. 이러한 발전은 더 나은 전력 배분과 재생 에너지의 효율적인 활용에 기여했습니다.</w:t>
      </w:r>
    </w:p>
    <w:p>
      <w:pPr>
        <w:pStyle w:val="8"/>
        <w:rPr>
          <w:rFonts w:hint="eastAsia" w:ascii="TimesNewRomanPS-BoldMT" w:hAnsi="TimesNewRomanPS-BoldMT" w:cs="TimesNewRomanPS-BoldMT"/>
          <w:b/>
          <w:bCs/>
        </w:rPr>
      </w:pPr>
    </w:p>
    <w:p>
      <w:pPr>
        <w:pStyle w:val="8"/>
        <w:rPr>
          <w:rFonts w:hint="eastAsia" w:ascii="TimesNewRomanPS-BoldMT" w:hAnsi="TimesNewRomanPS-BoldMT" w:cs="TimesNewRomanPS-BoldMT"/>
          <w:b/>
          <w:bCs/>
        </w:rPr>
      </w:pPr>
      <w:r>
        <w:rPr>
          <w:rFonts w:ascii="TimesNewRomanPS-BoldMT" w:hAnsi="TimesNewRomanPS-BoldMT" w:cs="TimesNewRomanPS-BoldMT"/>
          <w:b/>
          <w:bCs/>
          <w:lang w:val="en-US"/>
        </w:rPr>
        <w:drawing>
          <wp:inline distT="0" distB="0" distL="0" distR="0">
            <wp:extent cx="4508500" cy="2794000"/>
            <wp:effectExtent l="0" t="0" r="1270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508500" cy="2794000"/>
                    </a:xfrm>
                    <a:prstGeom prst="rect">
                      <a:avLst/>
                    </a:prstGeom>
                    <a:noFill/>
                    <a:ln>
                      <a:noFill/>
                    </a:ln>
                  </pic:spPr>
                </pic:pic>
              </a:graphicData>
            </a:graphic>
          </wp:inline>
        </w:drawing>
      </w:r>
    </w:p>
    <w:p>
      <w:pPr>
        <w:pStyle w:val="8"/>
        <w:rPr>
          <w:rFonts w:hint="eastAsia" w:ascii="TimesNewRomanPS-BoldMT" w:hAnsi="TimesNewRomanPS-BoldMT" w:cs="TimesNewRomanPS-BoldMT"/>
          <w:b/>
          <w:bCs/>
        </w:rPr>
      </w:pPr>
    </w:p>
    <w:p>
      <w:pPr>
        <w:pStyle w:val="8"/>
        <w:rPr>
          <w:rFonts w:hint="eastAsia" w:ascii="TimesNewRomanPS-BoldMT" w:hAnsi="TimesNewRomanPS-BoldMT" w:cs="TimesNewRomanPS-BoldMT"/>
          <w:b/>
          <w:bCs/>
        </w:rPr>
      </w:pP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 xml:space="preserve">패널 13 통합된 국가 전력 시장 시스템 구축의 빠른 진전 </w:t>
            </w:r>
            <w:r>
              <w:br w:type="textWrapping"/>
            </w:r>
            <w:r>
              <w:t xml:space="preserve">전력 시장 시스템</w:t>
            </w:r>
          </w:p>
        </w:tc>
      </w:tr>
      <w:tr>
        <w:tblPrEx>
          <w:tblLayout w:type="fixed"/>
          <w:tblCellMar>
            <w:top w:w="0" w:type="dxa"/>
            <w:left w:w="0" w:type="dxa"/>
            <w:bottom w:w="0" w:type="dxa"/>
            <w:right w:w="0" w:type="dxa"/>
          </w:tblCellMar>
        </w:tblPrEx>
        <w:trPr>
          <w:trHeight w:val="3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rPr>
                <w:rFonts w:ascii="TimesNewRomanPS-BoldMT" w:hAnsi="TimesNewRomanPS-BoldMT" w:cs="TimesNewRomanPS-BoldMT"/>
                <w:b/>
                <w:bCs/>
              </w:rPr>
              <w:t xml:space="preserve">다층적 전력 시장 시스템이 형성되었습니다.</w:t>
            </w:r>
            <w:r>
              <w:t xml:space="preserve"> 중국에서는 중장기 무역과 부대 서비스 거래를 완전히 포괄하는 지방 시장의 발전이 진행되고 있습니다. 산시성, 광둥성, 산둥성의 전력 현물 시장은 본격적인 운영을 시작했으며 간쑤성과 내몽고 서부 지역의 시장은 장기 정산으로 시범 운영을 성공적으로 완료했습니다. 다른 지역에서는 현재 현물 시장 형성을 모색하고 있습니다. 성간 및 지역 간 시장 기반 거래가 확대되고 있습니다. 중국 남부의 한 지역 전력 시장은 결제를 통해 시범 운영을 진행하고 있습니다.</w:t>
            </w:r>
          </w:p>
          <w:p>
            <w:pPr>
              <w:pStyle w:val="11"/>
            </w:pPr>
            <w:r>
              <w:rPr>
                <w:rFonts w:ascii="TimesNewRomanPS-BoldMT" w:hAnsi="TimesNewRomanPS-BoldMT" w:cs="TimesNewRomanPS-BoldMT"/>
                <w:b/>
                <w:bCs/>
              </w:rPr>
              <w:t xml:space="preserve">시장 적용 범위가 확대되고 있습니다.</w:t>
            </w:r>
            <w:r>
              <w:t xml:space="preserve"> 석탄, 천연가스, 원자력, 재생 에너지원으로 전기를 생산하는 기업들이 질서정연하게 시장 거래에 참여하고 있습니다. 이제 가상 발전소, 독립 전력 저장 기업 및 기타 새로운 기업까지 시장 참여 주체가 확대되었습니다. 전력 거래 기관에 등록된 법인의 수는 2016년 42,000개에서 2023년 743,000개로 증가했습니다.</w:t>
            </w:r>
          </w:p>
        </w:tc>
      </w:tr>
    </w:tbl>
    <w:p>
      <w:pPr>
        <w:pStyle w:val="8"/>
        <w:rPr>
          <w:rFonts w:hint="eastAsia" w:ascii="TimesNewRomanPS-BoldMT" w:hAnsi="TimesNewRomanPS-BoldMT" w:cs="TimesNewRomanPS-BoldMT"/>
          <w:b/>
          <w:bCs/>
        </w:rPr>
      </w:pPr>
    </w:p>
    <w:p>
      <w:pPr>
        <w:pStyle w:val="8"/>
        <w:rPr>
          <w:rFonts w:hint="eastAsia" w:ascii="TimesNewRomanPS-BoldMT" w:hAnsi="TimesNewRomanPS-BoldMT" w:cs="TimesNewRomanPS-BoldMT"/>
          <w:b/>
          <w:bCs/>
        </w:rPr>
      </w:pPr>
    </w:p>
    <w:p>
      <w:pPr>
        <w:pStyle w:val="8"/>
      </w:pPr>
      <w:r>
        <w:rPr>
          <w:rFonts w:ascii="TimesNewRomanPS-BoldMT" w:hAnsi="TimesNewRomanPS-BoldMT" w:cs="TimesNewRomanPS-BoldMT"/>
          <w:b/>
          <w:bCs/>
        </w:rPr>
        <w:t xml:space="preserve">에너지 가격 형성 메커니즘 개선.</w:t>
      </w:r>
      <w:r>
        <w:t xml:space="preserve"> 중국에서는 시장 기반 에너지 가격 개혁이 진전되고 있습니다. 중국은 다양한 에너지원에서 생산된 전력의 질서 있는 시장 거래를 장려하고 새로운 에너지에 대한 병입 관세 정책을 개선하기 위해 지속적으로 노력하고 있습니다. 산업 및 상업용 전기에 대한 가격 통제를 완전히 철폐했습니다. 중국은 석탄을 주요 발전원에서 보조 및 균형 역할을 하는 발전원으로 전환하기 위해 석탄 화력에 대한 용량 관세 메커니즘을 구축했습니다. 중국은 에너지 절약과 배출량 감축을 위해 에너지 집약적 산업에 대한 단계별 전기 요금 정책을 발표했습니다. 전력 사용자가 피크 수요를 줄이고 에너지 사용을 비피크 시간대로 전환하도록 유도하기 위해 사용 시간에 따른 가격 정책을 개선했습니다. 인가된 비용과 합리적인 이윤을 기반으로 하고 인센티브와 제약을 동등하게 강조하는 자연독점에 대한 가격 규제 시스템을 구축했습니다. 또한 국제 원유 가격과 국내 수급 역학 변화를 더 잘 반영하기 위해 정제유 가격 책정 메커니즘을 개선했습니다. 천연가스 도시가스 가격의 시장 지향적 개혁과 석탄의 중장기 계약 제도 및 시장 기반 가격 형성 메커니즘도 진전을 이루었습니다.</w:t>
      </w:r>
    </w:p>
    <w:p>
      <w:pPr>
        <w:pStyle w:val="9"/>
      </w:pPr>
      <w:r>
        <w:t xml:space="preserve">2. 정부 지침 및 서비스 강화</w:t>
      </w:r>
    </w:p>
    <w:p>
      <w:pPr>
        <w:pStyle w:val="8"/>
      </w:pPr>
      <w:r>
        <w:t xml:space="preserve">중국은 정부 기능의 전환을 가속화하고 국가 발전 계획의 전략적 지도 역할을 충분히 발휘하고 있습니다. 중국은 에너지 전환의 효율성과 공정성을 모두 보장하기 위해 재정, 세제, 투자, 금융 및 기타 거시경제 정책의 조정을 강화하고 시장 규제를 강화하며 공공 서비스를 개선했습니다. </w:t>
      </w:r>
    </w:p>
    <w:p>
      <w:pPr>
        <w:pStyle w:val="8"/>
      </w:pPr>
      <w:r>
        <w:rPr>
          <w:rFonts w:ascii="TimesNewRomanPS-BoldMT" w:hAnsi="TimesNewRomanPS-BoldMT" w:cs="TimesNewRomanPS-BoldMT"/>
          <w:b/>
          <w:bCs/>
        </w:rPr>
        <w:t xml:space="preserve">개발 계획의 지도적 역할 강화.</w:t>
      </w:r>
      <w:r>
        <w:t xml:space="preserve"> 중국은 에너지 생산과 소비를 최적화하는 전략을 추진하고 있습니다. 에너지 부문에 대한 중장기 및 5개년 종합 계획과 재생 에너지 개발을 위한 특별 계획을 수립했습니다. 이 모든 계획은 에너지 부문의 친환경 및 저탄소 개발을 위한 중요한 계획입니다. 이 계획은 에너지 전환, 주요 에너지 프로젝트의 배치, 공공 자원 할당 및 민간 투자 활용에 대한 방향을 안내합니다. 중국은 친환경 및 저탄소 전환에 필수적인 안전장치를 제공하기 위해 에너지 계획과 생태 환경 보호 및 영토 공간 활용 계획을 조율하고 있습니다.</w:t>
      </w:r>
    </w:p>
    <w:p>
      <w:pPr>
        <w:pStyle w:val="8"/>
        <w:rPr>
          <w:rFonts w:hint="eastAsia" w:ascii="TimesNewRomanPS-BoldMT" w:hAnsi="TimesNewRomanPS-BoldMT" w:cs="TimesNewRomanPS-BoldMT"/>
          <w:b/>
          <w:bCs/>
        </w:rPr>
      </w:pPr>
    </w:p>
    <w:p>
      <w:pPr>
        <w:pStyle w:val="8"/>
        <w:rPr>
          <w:rFonts w:hint="eastAsia" w:ascii="TimesNewRomanPS-BoldMT" w:hAnsi="TimesNewRomanPS-BoldMT" w:cs="TimesNewRomanPS-BoldMT"/>
          <w:b/>
          <w:bCs/>
        </w:rPr>
      </w:pPr>
    </w:p>
    <w:p>
      <w:pPr>
        <w:pStyle w:val="8"/>
        <w:rPr>
          <w:rFonts w:hint="eastAsia" w:ascii="TimesNewRomanPS-BoldMT" w:hAnsi="TimesNewRomanPS-BoldMT" w:cs="TimesNewRomanPS-BoldMT"/>
          <w:b/>
          <w:bCs/>
        </w:rPr>
      </w:pPr>
    </w:p>
    <w:p>
      <w:pPr>
        <w:pStyle w:val="8"/>
        <w:rPr>
          <w:rFonts w:hint="eastAsia" w:ascii="TimesNewRomanPS-BoldMT" w:hAnsi="TimesNewRomanPS-BoldMT" w:cs="TimesNewRomanPS-BoldMT"/>
          <w:b/>
          <w:bCs/>
        </w:rPr>
      </w:pPr>
    </w:p>
    <w:p>
      <w:pPr>
        <w:pStyle w:val="8"/>
        <w:rPr>
          <w:rFonts w:hint="eastAsia" w:ascii="TimesNewRomanPS-BoldMT" w:hAnsi="TimesNewRomanPS-BoldMT" w:cs="TimesNewRomanPS-BoldMT"/>
          <w:b/>
          <w:bCs/>
        </w:rPr>
      </w:pPr>
    </w:p>
    <w:p>
      <w:pPr>
        <w:pStyle w:val="8"/>
        <w:rPr>
          <w:rFonts w:hint="eastAsia" w:ascii="TimesNewRomanPS-BoldMT" w:hAnsi="TimesNewRomanPS-BoldMT" w:cs="TimesNewRomanPS-BoldMT"/>
          <w:b/>
          <w:bCs/>
        </w:rPr>
      </w:pPr>
    </w:p>
    <w:p>
      <w:pPr>
        <w:pStyle w:val="8"/>
        <w:rPr>
          <w:rFonts w:hint="eastAsia" w:ascii="TimesNewRomanPS-BoldMT" w:hAnsi="TimesNewRomanPS-BoldMT" w:cs="TimesNewRomanPS-BoldMT"/>
          <w:b/>
          <w:bCs/>
        </w:rPr>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 xml:space="preserve">패널 14 친환경 및 저탄소 전환을 위한 에너지 표준 시스템 개발 </w:t>
            </w:r>
            <w:r>
              <w:br w:type="textWrapping"/>
            </w:r>
            <w:r>
              <w:t xml:space="preserve">저탄소 전환을 위한 에너지 표준 시스템 개발</w:t>
            </w:r>
          </w:p>
        </w:tc>
      </w:tr>
      <w:tr>
        <w:tblPrEx>
          <w:tblLayout w:type="fixed"/>
          <w:tblCellMar>
            <w:top w:w="0" w:type="dxa"/>
            <w:left w:w="0" w:type="dxa"/>
            <w:bottom w:w="0" w:type="dxa"/>
            <w:right w:w="0" w:type="dxa"/>
          </w:tblCellMar>
        </w:tblPrEx>
        <w:trPr>
          <w:trHeight w:val="3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rPr>
                <w:rFonts w:ascii="TimesNewRomanPS-BoldMT" w:hAnsi="TimesNewRomanPS-BoldMT" w:cs="TimesNewRomanPS-BoldMT"/>
                <w:b/>
                <w:bCs/>
                <w:spacing w:val="-1"/>
              </w:rPr>
              <w:t xml:space="preserve">에너지 표준을 위한 정책 시스템 개선. </w:t>
            </w:r>
            <w:r>
              <w:t xml:space="preserve">에너지 부문에서 </w:t>
            </w:r>
            <w:r>
              <w:rPr>
                <w:spacing w:val="-1"/>
              </w:rPr>
              <w:t xml:space="preserve">중국의 </w:t>
            </w:r>
            <w:r>
              <w:t xml:space="preserve">고품질 개발 목표를 달성하고 화석 연료의 청정 사용, 비화석 연료의 광범위한 사용, 에너지 시스템의 디지털 및 지능형 전환, 에너지 소비의 녹색 전환에 발맞추기 위해 중국은 에너지 표준 시스템의 계획 및 개발을 강화했습니다. 에너지 분야의 표준화를 위한 130개 이상의 기술 위원회가 설립되어 산업의 모든 분야를 포괄하고 있습니다.</w:t>
            </w:r>
          </w:p>
          <w:p>
            <w:pPr>
              <w:pStyle w:val="11"/>
            </w:pPr>
            <w:r>
              <w:rPr>
                <w:rFonts w:ascii="TimesNewRomanPS-BoldMT" w:hAnsi="TimesNewRomanPS-BoldMT" w:cs="TimesNewRomanPS-BoldMT"/>
                <w:b/>
                <w:bCs/>
              </w:rPr>
              <w:t xml:space="preserve">표준화의 효율성을 높입니다. </w:t>
            </w:r>
            <w:r>
              <w:t xml:space="preserve">현재까지 중국은 에너지 분야에서 약 4,000개의 국가 표준과 11,000개 이상의 산업 표준을 발표했습니다. 이 분야의 표준화를 위한 정보 플랫폼을 구축하고 에너지 표준의 전체 수명 주기 관리를 달성했습니다.</w:t>
            </w:r>
          </w:p>
          <w:p>
            <w:pPr>
              <w:pStyle w:val="11"/>
            </w:pPr>
            <w:r>
              <w:rPr>
                <w:rFonts w:ascii="TimesNewRomanPS-BoldMT" w:hAnsi="TimesNewRomanPS-BoldMT" w:cs="TimesNewRomanPS-BoldMT"/>
                <w:b/>
                <w:bCs/>
                <w:spacing w:val="-1"/>
              </w:rPr>
              <w:t xml:space="preserve">표준화를 위한 국제 협력 강화. </w:t>
            </w:r>
            <w:r>
              <w:rPr>
                <w:spacing w:val="-1"/>
              </w:rPr>
              <w:t xml:space="preserve">중국은 </w:t>
            </w:r>
            <w:r>
              <w:t xml:space="preserve">자국 에너지 기업, 연구 기관 및 사회 단체가 국제전기기술위원회, 국제표준화기구, 국제전기통신연합 및 기타 조직의 표준 제정에 참여하도록 </w:t>
            </w:r>
            <w:r>
              <w:rPr>
                <w:spacing w:val="-1"/>
              </w:rPr>
              <w:t xml:space="preserve">장려하고 </w:t>
            </w:r>
            <w:r>
              <w:t xml:space="preserve">있습니다. 500개 이상의 에너지 표준의 외국어판을 발간했습니다. 일대일로 이니셔티브의 에너지 국제 협력의 일환으로 신에너지, 송변전, 석유 및 가스, 원자력 등의 분야에서 표준화에 대한 국제 교류와 협력을 진행하고 있습니다.</w:t>
            </w:r>
          </w:p>
        </w:tc>
      </w:tr>
    </w:tbl>
    <w:p>
      <w:pPr>
        <w:pStyle w:val="8"/>
        <w:rPr>
          <w:rFonts w:hint="eastAsia" w:ascii="TimesNewRomanPS-BoldMT" w:hAnsi="TimesNewRomanPS-BoldMT" w:cs="TimesNewRomanPS-BoldMT"/>
          <w:b/>
          <w:bCs/>
        </w:rPr>
      </w:pPr>
    </w:p>
    <w:p>
      <w:pPr>
        <w:pStyle w:val="8"/>
        <w:rPr>
          <w:rFonts w:hint="eastAsia" w:ascii="TimesNewRomanPS-BoldMT" w:hAnsi="TimesNewRomanPS-BoldMT" w:cs="TimesNewRomanPS-BoldMT"/>
          <w:b/>
          <w:bCs/>
        </w:rPr>
      </w:pPr>
    </w:p>
    <w:p>
      <w:pPr>
        <w:pStyle w:val="8"/>
        <w:rPr>
          <w:rFonts w:hint="eastAsia" w:ascii="TimesNewRomanPS-BoldMT" w:hAnsi="TimesNewRomanPS-BoldMT" w:cs="TimesNewRomanPS-BoldMT"/>
          <w:b/>
          <w:bCs/>
        </w:rPr>
      </w:pPr>
    </w:p>
    <w:p>
      <w:pPr>
        <w:pStyle w:val="8"/>
      </w:pPr>
      <w:r>
        <w:rPr>
          <w:rFonts w:ascii="TimesNewRomanPS-BoldMT" w:hAnsi="TimesNewRomanPS-BoldMT" w:cs="TimesNewRomanPS-BoldMT"/>
          <w:b/>
          <w:bCs/>
        </w:rPr>
        <w:t xml:space="preserve">정책 지원 강화.</w:t>
      </w:r>
      <w:r>
        <w:t xml:space="preserve"> 중국은 청정에너지 표준 시스템을 구축하여 에너지 부문의 친환경 및 저탄소 전환을 위한 조치를 취했습니다. 전환을 지원하는 산업 목록을 도입하고 그에 따라 산업 지원 정책을 수립하고 개선했습니다. 또한 중앙 예산, 지방 정부 특별 채권 및 국가 녹색 개발 기금에서 청정 및 저탄소 에너지 프로젝트에 대한 지원을 확대하고 있습니다. 녹색 금융 시스템을 구축하여 금융 기관이 법의 지배에 따라 시장 원칙에 따라 녹색 대출을 늘리도록 유도하고 기업의 녹색 채권 발행을 지원하고 있습니다. 또한 청정 및 저탄소 에너지 프로젝트에 대한 승인 및 등록 절차를 최적화하고 분산 에너지 투자 프로젝트에 대한 관리 절차를 간소화했습니다.</w:t>
      </w:r>
    </w:p>
    <w:p>
      <w:pPr>
        <w:pStyle w:val="8"/>
      </w:pPr>
      <w:r>
        <w:rPr>
          <w:rFonts w:ascii="TimesNewRomanPS-BoldMT" w:hAnsi="TimesNewRomanPS-BoldMT" w:cs="TimesNewRomanPS-BoldMT"/>
          <w:b/>
          <w:bCs/>
        </w:rPr>
        <w:t xml:space="preserve">감독 및 규제의 효율성 제고.</w:t>
      </w:r>
      <w:r>
        <w:t xml:space="preserve"> 중국은 에너지 부문에서 자연독점에 대한 규제를 개선하기 위해 노력해 왔습니다. 중국은 제3자가 전력망과 석유 및 가스 파이프라인 시설에 비차별적이고 공정하게 접근할 수 있도록 장려하고 있습니다. 시장 거래, 가격 책정 메커니즘 및 정보 공개에 대한 규제를 강화하고 있습니다. 시장 질서를 교란하는 행위는 신속하게 시정하여 시장 규칙이 준수되도록 합니다. 주요 계획, 정책 및 프로젝트의 이행에 대한 감독도 강화되었으며 재생 에너지 통합 및 소비, 전력 균형 시설의 건설 및 운영, 농촌 지역의 전력망 통합 및 업그레이드도 더 나은 규제를 받게 됩니다. 새로운 신용 기반 규제 메커니즘이 확립되고 인터넷 기반 모델이 널리 보급됨에 따라 에너지 부문의 새로운 감독 및 규제 방법이 채택되었습니다. 전력 시스템의 안전하고 안정적인 운영과 안정적인 전력 공급을 보장하기 위해 대규모 전력망의 위험 관리, 전력 비상 대응, 댐 안전 및 사이버 보안 위험 관리를 포괄하는 전기 안전 감독 및 규제 프레임워크가 구축 및 개선되었습니다.</w:t>
      </w:r>
    </w:p>
    <w:p>
      <w:pPr>
        <w:pStyle w:val="9"/>
      </w:pPr>
      <w:r>
        <w:t xml:space="preserve">3. 에너지 전환의 법치 강화</w:t>
      </w:r>
    </w:p>
    <w:p>
      <w:pPr>
        <w:pStyle w:val="8"/>
      </w:pPr>
      <w:r>
        <w:t xml:space="preserve">중국은 건전한 입법, 엄격한 법 집행, 공정한 사법 행정을 보장합니다. 에너지 부문의 기반을 공고히 하고 대중의 기대를 안정시키며 장기적인 혜택을 제공하는 데 법치를 적용합니다. 목표는 에너지 거버넌스에서 법치주의를 강화하는 것입니다.</w:t>
      </w:r>
    </w:p>
    <w:p>
      <w:pPr>
        <w:pStyle w:val="8"/>
      </w:pPr>
      <w:r>
        <w:rPr>
          <w:rFonts w:ascii="TimesNewRomanPS-BoldMT" w:hAnsi="TimesNewRomanPS-BoldMT" w:cs="TimesNewRomanPS-BoldMT"/>
          <w:b/>
          <w:bCs/>
        </w:rPr>
        <w:t xml:space="preserve">완전한 법률 시스템 개발. </w:t>
      </w:r>
      <w:r>
        <w:t xml:space="preserve">중국은 에너지 전환을 지원하기 위해 포괄적인 법적 체계를 구축했습니다. 이 법적 체계는 주로 에너지 절약법과 재생 에너지법으로 구성되며, 청정 생산 촉진법, 순환 경제 촉진법, 탄소 배출권 거래 관리 임시 규정 등으로 보완됩니다. 중국은 또한 생태 환경 규범을 제정하고 에너지법 제정을 가속화하기 위해 노력하고 있습니다. 재생 에너지법과 전력법도 개정할 계획입니다. 이러한 노력은 친환경 생산과 소비를 더 잘 촉진하고 에너지 절약, 비화석 연료 개발, 재생 에너지 우선순위, 친환경 에너지 사용을 장려하는 인센티브와 제약을 강화하는 것을 목표로 합니다. </w:t>
      </w:r>
    </w:p>
    <w:p>
      <w:pPr>
        <w:pStyle w:val="8"/>
      </w:pPr>
      <w:r>
        <w:rPr>
          <w:rFonts w:ascii="TimesNewRomanPS-BoldMT" w:hAnsi="TimesNewRomanPS-BoldMT" w:cs="TimesNewRomanPS-BoldMT"/>
          <w:b/>
          <w:bCs/>
        </w:rPr>
        <w:t xml:space="preserve">법률에 기반한 정부 행정의 발전.</w:t>
      </w:r>
      <w:r>
        <w:t xml:space="preserve"> 중국은 법에 기반한 정부 행정을 개선하기 위해 더욱 노력해 왔습니다. 중국은 에너지 전략과 관련 계획, 정책 및 표준의 수립, 실행, 감독 및 관리 전반에 걸쳐 법치주의가 통합되도록 보장하고 있습니다. 행정법 집행 정보 공개 시스템, 법 집행 전 과정에 대한 기록 시스템, 주요 법 집행 결정에 대한 법률 검토 시스템을 적용하고 있습니다. 엄격하고 절차에 기반하며 공정하고 남용이 없는 법 집행을 촉진하기 위해 행정 재량에 대한 벤치마크 시스템을 구축했습니다. 또한, 중국은 에너지 생산과 소비에 있어 기업과 시민의 합법적인 권익을 보호하기 위해 행정 심사 신청 접수 절차, 증거 규칙, 심사 메커니즘을 개선하는 행정 심사 시스템 개혁을 추진하고 있습니다. 또한 에너지 분야에서 심도 있는 법률 인식 활동을 전개하고 있으며, 법 집행 부서가 대중의 법률 인식을 제고하여 사회 전체가 친환경 소비 의무를 이행하도록 하는 책임 프로그램을 시행하고 있습니다.</w:t>
      </w:r>
    </w:p>
    <w:p>
      <w:pPr>
        <w:pStyle w:val="8"/>
      </w:pPr>
      <w:r>
        <w:rPr>
          <w:rFonts w:ascii="TimesNewRomanPS-BoldMT" w:hAnsi="TimesNewRomanPS-BoldMT" w:cs="TimesNewRomanPS-BoldMT"/>
          <w:b/>
          <w:bCs/>
        </w:rPr>
        <w:t xml:space="preserve">사법 서비스 개선.</w:t>
      </w:r>
      <w:r>
        <w:t xml:space="preserve"> 중국은 공정한 사법 행정을 통해 에너지 부문의 고품질 발전을 지원하고 최대 탄소 및 탄소 중립 목표를 달성하기 위해 사법 서비스를 개선하기 위해 전방위적인 노력을 기울이고 있습니다. 최고인민법원은 생태환경 분야의 법치와 관련된 사건을 처리하기 위해 환경자원부를 설립했으며, 전국적으로 2,800개의 특별 기관 및 단체에서 이러한 소송 사건을 심리하고 있습니다. 중국 당국은 법원이 에너지 전환과 관련된 법률을 적용하고 사건을 판결할 때 명확한 지침을 제공하기 위해 사법 해석과 지침을 발표했습니다.</w:t>
      </w:r>
    </w:p>
    <w:p>
      <w:pPr>
        <w:pStyle w:val="8"/>
      </w:pPr>
    </w:p>
    <w:p>
      <w:pPr>
        <w:pStyle w:val="8"/>
      </w:pPr>
    </w:p>
    <w:p>
      <w:pPr>
        <w:pStyle w:val="7"/>
      </w:pPr>
      <w:r>
        <w:t xml:space="preserve">VI. 미래를 공유하는 글로벌 커뮤니티에 기여하기 </w:t>
      </w:r>
    </w:p>
    <w:p>
      <w:pPr>
        <w:pStyle w:val="8"/>
      </w:pPr>
      <w:r>
        <w:t xml:space="preserve">에너지 안보를 유지하고 기후 변화에 대처하는 것은 전 세계가 직면한 공통의 과제이며, 친환경 및 저탄소 에너지 개발을 가속화하는 것은 전 세계가 공통의 기회입니다. 중국은 자국의 에너지 전환을 추진함으로써 글로벌 에너지 전환에 적극적으로 기여하고 있습니다. 중국은 함께 계획하고 함께 건설하며 함께 혜택을 누린다는 원칙에 따라 다른 국가와 협력하여 지속 가능한 글로벌 에너지 개발을 촉진하고 공평, 정의, 균형, 포용에 기반한 글로벌 에너지 거버넌스 시스템을 구축하기 위해 노력하고 있습니다. </w:t>
      </w:r>
    </w:p>
    <w:p>
      <w:pPr>
        <w:pStyle w:val="9"/>
      </w:pPr>
      <w:r>
        <w:t xml:space="preserve">1. 글로벌 친환경 개발을 위한 새로운 동력 제공</w:t>
      </w:r>
    </w:p>
    <w:p>
      <w:pPr>
        <w:pStyle w:val="8"/>
      </w:pPr>
      <w:r>
        <w:t xml:space="preserve">중국은 자국의 개발 모델을 혁신하고 전 세계적으로 광범위한 에너지 협력에 참여함으로써 녹색 개발을 적극적으로 추진해 왔습니다. 이러한 노력을 통해 중국은 글로벌 친환경 개발을 위한 새로운 동력을 제공했습니다.</w:t>
      </w:r>
    </w:p>
    <w:p>
      <w:pPr>
        <w:pStyle w:val="8"/>
        <w:rPr>
          <w:rFonts w:ascii="TimesNewRomanPS-BoldMT" w:hAnsi="TimesNewRomanPS-BoldMT" w:cs="TimesNewRomanPS-BoldMT"/>
          <w:b/>
          <w:bCs/>
        </w:rPr>
      </w:pPr>
      <w:r>
        <w:rPr>
          <w:rFonts w:ascii="TimesNewRomanPS-BoldMT" w:hAnsi="TimesNewRomanPS-BoldMT" w:cs="TimesNewRomanPS-BoldMT"/>
          <w:b/>
          <w:bCs/>
        </w:rPr>
        <w:t xml:space="preserve">중국의 친환경 에너지 개발은 글로벌 에너지 전환의 원동력이 되었습니다. </w:t>
      </w:r>
      <w:r>
        <w:t xml:space="preserve">2013년부터 중국은 연간 전 세계 재생 에너지 용량 추가의 40% 이상을 담당하고 있습니다. 2023년 중국의 신규 설치 용량은 전 세계 전체의 절반 이상을 차지했습니다. 국제에너지기구(IEA)가 발표한 '재생에너지 2023'에 따르면 중국은 전 세계 재생에너지 부문의 선두주자이자 전 세계 재생에너지 용량을 빠르게 확장하는 주요 원동력입니다. 2014년부터 2023년까지 전 세계 에너지 소비에서 비화석 연료가 차지하는 비중은 13.6%에서 18.5%로 증가했으며, 중국은 이 증가에 45.2%를 기여했습니다</w:t>
      </w:r>
      <w:r>
        <w:rPr>
          <w:rFonts w:ascii="TimesNewRomanPS-BoldMT" w:hAnsi="TimesNewRomanPS-BoldMT" w:cs="TimesNewRomanPS-BoldMT"/>
          <w:b/>
          <w:bCs/>
        </w:rPr>
        <w:t xml:space="preserve">. </w:t>
      </w:r>
    </w:p>
    <w:p>
      <w:pPr>
        <w:pStyle w:val="8"/>
        <w:rPr>
          <w:rFonts w:hint="eastAsia" w:ascii="TimesNewRomanPS-BoldMT" w:hAnsi="TimesNewRomanPS-BoldMT" w:cs="TimesNewRomanPS-BoldMT"/>
          <w:b/>
          <w:bCs/>
        </w:rPr>
      </w:pPr>
    </w:p>
    <w:p>
      <w:pPr>
        <w:pStyle w:val="8"/>
        <w:rPr>
          <w:rFonts w:hint="eastAsia" w:ascii="TimesNewRomanPS-BoldMT" w:hAnsi="TimesNewRomanPS-BoldMT" w:cs="TimesNewRomanPS-BoldMT"/>
          <w:b/>
          <w:bCs/>
        </w:rPr>
      </w:pPr>
    </w:p>
    <w:p>
      <w:pPr>
        <w:pStyle w:val="8"/>
        <w:rPr>
          <w:rFonts w:hint="eastAsia" w:ascii="TimesNewRomanPS-BoldMT" w:hAnsi="TimesNewRomanPS-BoldMT" w:cs="TimesNewRomanPS-BoldMT"/>
          <w:b/>
          <w:bCs/>
        </w:rPr>
      </w:pPr>
      <w:r>
        <w:rPr>
          <w:rFonts w:ascii="TimesNewRomanPS-BoldMT" w:hAnsi="TimesNewRomanPS-BoldMT" w:cs="TimesNewRomanPS-BoldMT"/>
          <w:b/>
          <w:bCs/>
          <w:lang w:val="en-US"/>
        </w:rPr>
        <w:drawing>
          <wp:inline distT="0" distB="0" distL="0" distR="0">
            <wp:extent cx="4838700" cy="1943100"/>
            <wp:effectExtent l="0" t="0" r="1270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838700" cy="1943100"/>
                    </a:xfrm>
                    <a:prstGeom prst="rect">
                      <a:avLst/>
                    </a:prstGeom>
                    <a:noFill/>
                    <a:ln>
                      <a:noFill/>
                    </a:ln>
                  </pic:spPr>
                </pic:pic>
              </a:graphicData>
            </a:graphic>
          </wp:inline>
        </w:drawing>
      </w:r>
    </w:p>
    <w:p>
      <w:pPr>
        <w:pStyle w:val="8"/>
        <w:rPr>
          <w:rFonts w:hint="eastAsia" w:ascii="TimesNewRomanPS-BoldMT" w:hAnsi="TimesNewRomanPS-BoldMT" w:cs="TimesNewRomanPS-BoldMT"/>
          <w:b/>
          <w:bCs/>
        </w:rPr>
      </w:pPr>
    </w:p>
    <w:p>
      <w:pPr>
        <w:pStyle w:val="8"/>
        <w:rPr>
          <w:rFonts w:hint="eastAsia" w:ascii="TimesNewRomanPS-BoldMT" w:hAnsi="TimesNewRomanPS-BoldMT" w:cs="TimesNewRomanPS-BoldMT"/>
          <w:b/>
          <w:bCs/>
        </w:rPr>
      </w:pPr>
    </w:p>
    <w:p>
      <w:pPr>
        <w:pStyle w:val="8"/>
      </w:pPr>
      <w:r>
        <w:rPr>
          <w:rFonts w:ascii="TimesNewRomanPS-BoldMT" w:hAnsi="TimesNewRomanPS-BoldMT" w:cs="TimesNewRomanPS-BoldMT"/>
          <w:b/>
          <w:bCs/>
        </w:rPr>
        <w:t xml:space="preserve">중국의 신에너지 산업은 전 세계에 친환경 전력을 공급합니다.</w:t>
      </w:r>
      <w:r>
        <w:t xml:space="preserve"> 지속적인 기술 혁신, 산업 및 공급망의 건전한 시스템, 충분한 시장 경쟁, 초대형 시장의 이점을 통해 중국의 신에너지 산업은 빠르게 발전해 왔습니다. 이는 전 세계 공급을 풍부하게 하고 글로벌 인플레이션 압력을 완화했으며 기후 변화에 대처하고 사람들의 삶을 개선하기 위한 국제적인 공동 노력에 기여했습니다. 중국산 태양광 모듈과 풍력 발전 장비는 점점 더 많은 국가에서 재생 에너지의 광범위한 경제적 사용을 가능하게 했습니다. 국제재생에너지기구(IRENA)의 보고서에 따르면 지난 10년 동안 전 세계 풍력 발전 프로젝트의 평균 킬로와트시당 비용은 60% 이상, 태양광 발전 프로젝트는 80% 이상 감소했습니다. 이러한 감소는 주로 중국의 노력에 기인합니다. </w:t>
      </w:r>
    </w:p>
    <w:p>
      <w:pPr>
        <w:pStyle w:val="8"/>
        <w:rPr>
          <w:rFonts w:ascii="TimesNewRomanPS-BoldMT" w:hAnsi="TimesNewRomanPS-BoldMT" w:cs="TimesNewRomanPS-BoldMT"/>
          <w:b/>
          <w:bCs/>
          <w:spacing w:val="-4"/>
        </w:rPr>
      </w:pPr>
      <w:r>
        <w:rPr>
          <w:rFonts w:ascii="TimesNewRomanPS-BoldMT" w:hAnsi="TimesNewRomanPS-BoldMT" w:cs="TimesNewRomanPS-BoldMT"/>
          <w:b/>
          <w:bCs/>
        </w:rPr>
        <w:t xml:space="preserve">중국의 추가 개방은 청정 에너지에 대한 국제 협력을 강화할 수 있는 새로운 기회를 창출합니다. </w:t>
      </w:r>
      <w:r>
        <w:t xml:space="preserve">중국은 시장 지향적이고 법에 기반하며 국제화된 세계적 수준의 비즈니스 환경을 구축하여 에너지 무역과 투자 자유화 및 활성화를 촉진하고 외자 기업이 중국 에너지 전환의 배당금을 공유할 수 있는 기회를 제공하고 있습니다. 진입 전 내국민 대우와 네거티브 리스트에 기반한 외국인 투자 관리 제도를 시행하고 원자력 발전소를 제외한 모든 에너지 산업에 대한 외국인 투자 제한을 철폐했습니다. 또한, 중국은 외국인 투자 장려 산업 목록을 도입하고 청정에너지에 대한 외국인 투자에 대한 정책적 지원을 강화했습니다. GE, BP, 지멘스 등 다국적 기업들이 중국 에너지 분야에 대한 투자를 꾸준히 확대하고 있으며, EDF의 해상 풍력발전 프로젝트, 테슬라의 상하이 전기차 프로젝트, LG 에너지 솔루션의 난징 배터리 프로젝트 등 중국 전역에서 많은 외국인 투자 프로젝트가 활발히 진행 중입니다</w:t>
      </w:r>
      <w:r>
        <w:rPr>
          <w:rFonts w:ascii="TimesNewRomanPS-BoldMT" w:hAnsi="TimesNewRomanPS-BoldMT" w:cs="TimesNewRomanPS-BoldMT"/>
          <w:b/>
          <w:bCs/>
          <w:spacing w:val="-4"/>
        </w:rPr>
        <w:t xml:space="preserve">. </w:t>
      </w:r>
    </w:p>
    <w:p>
      <w:pPr>
        <w:pStyle w:val="9"/>
      </w:pPr>
      <w:r>
        <w:t xml:space="preserve">2. 친환경 에너지 분야의 일대일로 협력 촉진</w:t>
      </w:r>
    </w:p>
    <w:p>
      <w:pPr>
        <w:pStyle w:val="8"/>
        <w:rPr>
          <w:rFonts w:ascii="TimesNewRomanPS-BoldMT" w:hAnsi="TimesNewRomanPS-BoldMT" w:cs="TimesNewRomanPS-BoldMT"/>
          <w:b/>
          <w:bCs/>
        </w:rPr>
      </w:pPr>
      <w:r>
        <w:t xml:space="preserve">일대일로 이니셔티브의 틀에 따라 중국은 에너지 협력에서 함께 계획하고, 함께 건설하고, 함께 이익을 얻는다는 원칙을 따릅니다. 높은 수준의 사람 중심의 지속 가능한 발전을 추구하는 개방적이고 친환경적이며 깨끗한 협력에 전념하고 있습니다. 파트너 국가와 협력하여 에너지 전환을 심화시키고 에너지 분야의 녹색 협력을 발전시키며 지속 가능한 발전을 달성하기 위해 노력합니다</w:t>
      </w:r>
      <w:r>
        <w:rPr>
          <w:rFonts w:ascii="TimesNewRomanPS-BoldMT" w:hAnsi="TimesNewRomanPS-BoldMT" w:cs="TimesNewRomanPS-BoldMT"/>
          <w:b/>
          <w:bCs/>
        </w:rPr>
        <w:t xml:space="preserve">. </w:t>
      </w:r>
    </w:p>
    <w:p>
      <w:pPr>
        <w:pStyle w:val="8"/>
        <w:rPr>
          <w:rFonts w:ascii="TimesNewRomanPS-BoldMT" w:hAnsi="TimesNewRomanPS-BoldMT" w:cs="TimesNewRomanPS-BoldMT"/>
          <w:b/>
          <w:bCs/>
        </w:rPr>
      </w:pPr>
      <w:r>
        <w:rPr>
          <w:rFonts w:ascii="TimesNewRomanPS-BoldMT" w:hAnsi="TimesNewRomanPS-BoldMT" w:cs="TimesNewRomanPS-BoldMT"/>
          <w:b/>
          <w:bCs/>
          <w:spacing w:val="-1"/>
        </w:rPr>
        <w:t xml:space="preserve">일대일로 국가 간 녹색 에너지 협력 증진. </w:t>
      </w:r>
      <w:r>
        <w:rPr>
          <w:spacing w:val="-1"/>
        </w:rPr>
        <w:t xml:space="preserve">중국은 </w:t>
      </w:r>
      <w:r>
        <w:rPr>
          <w:spacing w:val="-3"/>
        </w:rPr>
        <w:t xml:space="preserve">일대일로 </w:t>
      </w:r>
      <w:r>
        <w:t xml:space="preserve">녹색 발전 공동 추진 지침을 비롯해 일대일로 국가와의 녹색 에너지 분야 협력을 </w:t>
      </w:r>
      <w:r>
        <w:rPr>
          <w:spacing w:val="-1"/>
        </w:rPr>
        <w:t xml:space="preserve">확대하기 위한 여러 정책 문서를 발표했습니다</w:t>
      </w:r>
      <w:r>
        <w:rPr>
          <w:spacing w:val="-3"/>
        </w:rPr>
        <w:t xml:space="preserve">. </w:t>
      </w:r>
      <w:r>
        <w:rPr>
          <w:spacing w:val="-3"/>
        </w:rPr>
        <w:t xml:space="preserve">2021년에 중국은 해외에 신규 석탄 화력발전소 건설을 중단하기로 약속하고 </w:t>
      </w:r>
      <w:r>
        <w:t xml:space="preserve">파트너 국가와의 에너지 협력에서 </w:t>
      </w:r>
      <w:r>
        <w:rPr>
          <w:spacing w:val="-3"/>
        </w:rPr>
        <w:t xml:space="preserve">친환경 및 저탄소 에너지 </w:t>
      </w:r>
      <w:r>
        <w:t xml:space="preserve">프로젝트에 </w:t>
      </w:r>
      <w:r>
        <w:rPr>
          <w:spacing w:val="-3"/>
        </w:rPr>
        <w:t xml:space="preserve">집중하기 시작했습니다</w:t>
      </w:r>
      <w:r>
        <w:t xml:space="preserve">. </w:t>
      </w:r>
      <w:r>
        <w:t xml:space="preserve">현재 중국은 100개 이상의 국가 및 지역과 친환경 에너지 프로젝트를 위해 협력하고 있으며, 해당 국가 및 지역의 전력 공급의 접근성과 경제성 문제를 효과적으로 해결하고 깨끗하고 안전하며 신뢰할 수 있는 에너지 공급 솔루션을 제공하는 다수의 대표적인 에너지 프로젝트와 '작지만 스마트한' 사람 중심 프로그램을 시작했습니다</w:t>
      </w:r>
      <w:r>
        <w:rPr>
          <w:rFonts w:ascii="TimesNewRomanPS-BoldMT" w:hAnsi="TimesNewRomanPS-BoldMT" w:cs="TimesNewRomanPS-BoldMT"/>
          <w:b/>
          <w:bCs/>
        </w:rPr>
        <w:t xml:space="preserve">. </w:t>
      </w: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 xml:space="preserve">패널 15 친환경 에너지 협력의 우수 사례 </w:t>
            </w:r>
            <w:r>
              <w:br w:type="textWrapping"/>
            </w:r>
            <w:r>
              <w:t xml:space="preserve">일대일로 국가 중</w:t>
            </w:r>
          </w:p>
        </w:tc>
      </w:tr>
      <w:tr>
        <w:tblPrEx>
          <w:tblLayout w:type="fixed"/>
          <w:tblCellMar>
            <w:top w:w="0" w:type="dxa"/>
            <w:left w:w="0" w:type="dxa"/>
            <w:bottom w:w="0" w:type="dxa"/>
            <w:right w:w="0" w:type="dxa"/>
          </w:tblCellMar>
        </w:tblPrEx>
        <w:trPr>
          <w:trHeight w:val="3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rPr>
                <w:rFonts w:ascii="TimesNewRomanPS-BoldMT" w:hAnsi="TimesNewRomanPS-BoldMT" w:cs="TimesNewRomanPS-BoldMT"/>
                <w:b/>
                <w:bCs/>
              </w:rPr>
              <w:t xml:space="preserve">파키스탄의 카롯 수력발전소는 </w:t>
            </w:r>
            <w:r>
              <w:t xml:space="preserve">중국-파키스탄 경제회랑에 따른 에너지 협력의 우선순위 프로젝트입니다. 중국 기업이 건설하고 운영합니다. 총 설치 용량은 720MW로, 연평균 3,200GWh의 청정 전력을 생산하여 500만 명 이상의 전력 수요를 충족합니다. </w:t>
            </w:r>
          </w:p>
          <w:p>
            <w:pPr>
              <w:pStyle w:val="11"/>
              <w:rPr>
                <w:rFonts w:ascii="TimesNewRomanPS-BoldMT" w:hAnsi="TimesNewRomanPS-BoldMT" w:cs="TimesNewRomanPS-BoldMT"/>
                <w:b/>
                <w:bCs/>
              </w:rPr>
            </w:pPr>
            <w:r>
              <w:rPr>
                <w:rFonts w:ascii="TimesNewRomanPS-BoldMT" w:hAnsi="TimesNewRomanPS-BoldMT" w:cs="TimesNewRomanPS-BoldMT"/>
                <w:b/>
                <w:bCs/>
              </w:rPr>
              <w:t xml:space="preserve">에티오피아의 아다마 풍력 </w:t>
            </w:r>
            <w:r>
              <w:t xml:space="preserve">발전 </w:t>
            </w:r>
            <w:r>
              <w:rPr>
                <w:rFonts w:ascii="TimesNewRomanPS-BoldMT" w:hAnsi="TimesNewRomanPS-BoldMT" w:cs="TimesNewRomanPS-BoldMT"/>
                <w:b/>
                <w:bCs/>
              </w:rPr>
              <w:t xml:space="preserve">단지는 </w:t>
            </w:r>
            <w:r>
              <w:t xml:space="preserve">에티오피아 최초의 풍력 발전 프로젝트이자 중국과 아프리카 간의 첫 번째 정부 간 신에너지 협력 프로젝트입니다. 중국 정부의 양허성 대출을 통해 중국 기업이 건설했습니다. 총 설치 용량은 204MW로 연평균 630GWh의 청정 전력을 생산하여 현지 전력 공급을 크게 개선합니다</w:t>
            </w:r>
            <w:r>
              <w:rPr>
                <w:rFonts w:ascii="TimesNewRomanPS-BoldMT" w:hAnsi="TimesNewRomanPS-BoldMT" w:cs="TimesNewRomanPS-BoldMT"/>
                <w:b/>
                <w:bCs/>
              </w:rPr>
              <w:t xml:space="preserve">. </w:t>
            </w:r>
          </w:p>
          <w:p>
            <w:pPr>
              <w:pStyle w:val="11"/>
              <w:rPr>
                <w:rFonts w:ascii="TimesNewRomanPS-BoldMT" w:hAnsi="TimesNewRomanPS-BoldMT" w:cs="TimesNewRomanPS-BoldMT"/>
                <w:b/>
                <w:bCs/>
              </w:rPr>
            </w:pPr>
            <w:r>
              <w:rPr>
                <w:rFonts w:ascii="TimesNewRomanPS-BoldMT" w:hAnsi="TimesNewRomanPS-BoldMT" w:cs="TimesNewRomanPS-BoldMT"/>
                <w:b/>
                <w:bCs/>
              </w:rPr>
              <w:t xml:space="preserve">UAE의 AI 다프라 태양광 발전소는 </w:t>
            </w:r>
            <w:r>
              <w:t xml:space="preserve">단일 부지로는 세계 최대 규모의 태양광 발전소입니다. 중국 계약업체가 건설했습니다. 총 설치 용량은 2,100MW로 UAE 내 약 20만 가구의 전력 수요를 충족할 수 있으며, UAE의 청정 에너지 비중을 13% 이상으로 높이는 데 기여했습니다</w:t>
            </w:r>
            <w:r>
              <w:rPr>
                <w:rFonts w:ascii="TimesNewRomanPS-BoldMT" w:hAnsi="TimesNewRomanPS-BoldMT" w:cs="TimesNewRomanPS-BoldMT"/>
                <w:b/>
                <w:bCs/>
              </w:rPr>
              <w:t xml:space="preserve">. </w:t>
            </w:r>
          </w:p>
          <w:p>
            <w:pPr>
              <w:pStyle w:val="11"/>
            </w:pPr>
            <w:r>
              <w:rPr>
                <w:rFonts w:ascii="TimesNewRomanPS-BoldMT" w:hAnsi="TimesNewRomanPS-BoldMT" w:cs="TimesNewRomanPS-BoldMT"/>
                <w:b/>
                <w:bCs/>
              </w:rPr>
              <w:t xml:space="preserve">아르헨티나의 카우차리 태양광 </w:t>
            </w:r>
            <w:r>
              <w:t xml:space="preserve">발전 단지는 남미에서 가장 높은 태양광 발전소이며 설치 용량도 가장 </w:t>
            </w:r>
            <w:r>
              <w:rPr>
                <w:rFonts w:ascii="TimesNewRomanPS-BoldMT" w:hAnsi="TimesNewRomanPS-BoldMT" w:cs="TimesNewRomanPS-BoldMT"/>
                <w:b/>
                <w:bCs/>
              </w:rPr>
              <w:t xml:space="preserve">큽니다</w:t>
            </w:r>
            <w:r>
              <w:t xml:space="preserve">. 중국 기업이 건설했습니다. 총 설치 용량은 315MW로 연간 약 650GWh의 전력을 생산하여 25만 가구에 청정 에너지를 공급하고 지역 전력 자급자족을 실현하는 데 기여하고 </w:t>
            </w:r>
            <w:r>
              <w:t xml:space="preserve">있습니다. </w:t>
            </w:r>
          </w:p>
        </w:tc>
      </w:tr>
    </w:tbl>
    <w:p>
      <w:pPr>
        <w:pStyle w:val="8"/>
        <w:rPr>
          <w:rFonts w:hint="eastAsia" w:ascii="TimesNewRomanPS-BoldMT" w:hAnsi="TimesNewRomanPS-BoldMT" w:cs="TimesNewRomanPS-BoldMT"/>
          <w:b/>
          <w:bCs/>
        </w:rPr>
      </w:pPr>
    </w:p>
    <w:p>
      <w:pPr>
        <w:pStyle w:val="8"/>
        <w:rPr>
          <w:rFonts w:hint="eastAsia" w:ascii="TimesNewRomanPS-BoldMT" w:hAnsi="TimesNewRomanPS-BoldMT" w:cs="TimesNewRomanPS-BoldMT"/>
          <w:b/>
          <w:bCs/>
        </w:rPr>
      </w:pPr>
    </w:p>
    <w:p>
      <w:pPr>
        <w:pStyle w:val="8"/>
        <w:rPr>
          <w:rFonts w:ascii="TimesNewRomanPS-BoldMT" w:hAnsi="TimesNewRomanPS-BoldMT" w:cs="TimesNewRomanPS-BoldMT"/>
          <w:b/>
          <w:bCs/>
        </w:rPr>
      </w:pPr>
      <w:r>
        <w:rPr>
          <w:rFonts w:ascii="TimesNewRomanPS-BoldMT" w:hAnsi="TimesNewRomanPS-BoldMT" w:cs="TimesNewRomanPS-BoldMT"/>
          <w:b/>
          <w:bCs/>
        </w:rPr>
        <w:t xml:space="preserve">높은 수준의 에너지 협력을 위한 플랫폼을 공동으로 구축합니다.</w:t>
      </w:r>
      <w:r>
        <w:t xml:space="preserve"> 중국이 주도하는 일대일로 에너지 파트너십에는 전 세계 33개 회원국이 참여하고 있습니다. 이 파트너십 내에서 중국-아세안 플랫폼, 중국-아랍연맹 플랫폼, 중국-아프리카 연합 플랫폼, 중국-중부 및 동유럽 플랫폼, 중국-중앙아시아 플랫폼, APEC 지속 가능 에너지 센터 등 6개의 주요 지역 에너지 협력 플랫폼이 형성되었습니다. 상하이협력기구 회원국 에너지 장관 간의 정기적인 회의를 위한 메커니즘이 구축되었습니다. 중국은 에너지 안보, 에너지 전환, 에너지 접근성, 지속 가능한 에너지 개발에 중점을 두고 글로벌 에너지 거버넌스 개혁에 기여하고 </w:t>
      </w:r>
      <w:r>
        <w:rPr>
          <w:rFonts w:ascii="TimesNewRomanPS-BoldMT" w:hAnsi="TimesNewRomanPS-BoldMT" w:cs="TimesNewRomanPS-BoldMT"/>
          <w:b/>
          <w:bCs/>
        </w:rPr>
        <w:t xml:space="preserve">있습니다. </w:t>
      </w:r>
    </w:p>
    <w:p>
      <w:pPr>
        <w:pStyle w:val="9"/>
      </w:pPr>
      <w:r>
        <w:t xml:space="preserve">3. 글로벌 지속 가능한 에너지 개발 공동 추진</w:t>
      </w:r>
    </w:p>
    <w:p>
      <w:pPr>
        <w:pStyle w:val="8"/>
      </w:pPr>
      <w:r>
        <w:t xml:space="preserve">최근 몇 년 동안 국제 정세는 점점 더 복잡해지고 다양한 형태의 녹색 장벽이 증가하고 있습니다. 이로 인해 글로벌 에너지 산업 및 공급망을 안정적으로 유지하고 개방된 환경에서 에너지 안보를 유지하는 것이 더욱 어려워졌습니다. 이러한 새로운 도전에 대응하여 중국은 다른 국가와 협력하여 청정에너지 산업 및 공급망을 개선하고, 지식과 경험을 공유하며, 친환경 및 저탄소 에너지로의 전환을 추진하고, 지속 가능한 글로벌 에너지 발전과 미래를 공유하는 글로벌 커뮤니티에 기여함으로써 주요 개발도상국으로서의 책임을 다할 준비가 되어 있습니다.</w:t>
      </w:r>
    </w:p>
    <w:p>
      <w:pPr>
        <w:pStyle w:val="8"/>
      </w:pPr>
      <w:r>
        <w:rPr>
          <w:rFonts w:ascii="TimesNewRomanPS-BoldMT" w:hAnsi="TimesNewRomanPS-BoldMT" w:cs="TimesNewRomanPS-BoldMT"/>
          <w:b/>
          <w:bCs/>
        </w:rPr>
        <w:t xml:space="preserve">- 에너지 전환을 위한 실용적 협력 확대. </w:t>
      </w:r>
      <w:r>
        <w:t xml:space="preserve">중국은 개방적이고 상호 호혜적인 협력을 지지하며 글로벌 개발 이니셔티브의 결실을 촉진합니다. 녹색 에너지로 아름다운 세상을 만들기 위해 에너지 분야의 양자 및 다자 협력 메커니즘을 개선하고, 에너지 전환에 대한 정책 아이디어와 모범 사례의 교류를 강화하며, 녹색 및 저탄소 기술에 대한 협력과 역량 강화를 진전시키기 위해 노력하고 있습니다. 중국은 국가 안보 개념을 과도하게 확대하고 정상적인 국제 개발 협력에 근거 없는 제한을 가하는 것에 반대합니다. 중국은 국제 사회와 협력하여 더 많은 분야에서 새로운 유형의 에너지를 탐구하고 인류를 위해 지속 가능한 에너지의 미래를 만들 준비가 되어 있습니다. </w:t>
      </w:r>
    </w:p>
    <w:p>
      <w:pPr>
        <w:pStyle w:val="8"/>
        <w:rPr>
          <w:rFonts w:ascii="TimesNewRomanPS-BoldMT" w:hAnsi="TimesNewRomanPS-BoldMT" w:cs="TimesNewRomanPS-BoldMT"/>
          <w:b/>
          <w:bCs/>
        </w:rPr>
      </w:pPr>
      <w:r>
        <w:rPr>
          <w:rFonts w:ascii="TimesNewRomanPS-BoldMT" w:hAnsi="TimesNewRomanPS-BoldMT" w:cs="TimesNewRomanPS-BoldMT"/>
          <w:b/>
          <w:bCs/>
        </w:rPr>
        <w:t xml:space="preserve">- 글로벌 에너지 산업 및 공급망을 개방적이고 안정적으로 유지합니다.</w:t>
      </w:r>
      <w:r>
        <w:t xml:space="preserve"> 진정한 다자주의의 확고한 지지자인 중국은 모든 형태의 일방주의와 보호주의에 반대합니다. 중국은 글로벌 에너지 산업 및 공급망을 개방적이고 안정적으로 유지하기 위해 모든 형태의 탈동조화, 산업 및 공급망의 단절, '작은 마당과 높은 울타리' 접근 방식을 거부합니다. 중국은 다른 국가들과 협력하여 대화와 소통을 강화하고, 무역과 투자 자유화 및 촉진을 촉진하며, 개방적이고 포용적이며 상호 이익이 되는 안전하고 안정적이며 효율적인 글로벌 에너지 산업 및 공급망을 구축할 준비가 되어 있습니다. 주요 국가들은 지구와 인류의 미래에 더욱 집중하고 글로벌 에너지 안보를 보장하고 친환경 개발을 촉진하며 시장 질서를 유지하는 등 책임감 있는 방식으로 행동하여 지위에 걸맞은 책임을 다해야 </w:t>
      </w:r>
      <w:r>
        <w:rPr>
          <w:rFonts w:ascii="TimesNewRomanPS-BoldMT" w:hAnsi="TimesNewRomanPS-BoldMT" w:cs="TimesNewRomanPS-BoldMT"/>
          <w:b/>
          <w:bCs/>
        </w:rPr>
        <w:t xml:space="preserve">합니다. </w:t>
      </w:r>
    </w:p>
    <w:p>
      <w:pPr>
        <w:pStyle w:val="8"/>
      </w:pPr>
      <w:r>
        <w:rPr>
          <w:rFonts w:ascii="TimesNewRomanPS-BoldMT" w:hAnsi="TimesNewRomanPS-BoldMT" w:cs="TimesNewRomanPS-BoldMT"/>
          <w:b/>
          <w:bCs/>
        </w:rPr>
        <w:t xml:space="preserve">- 글로벌 에너지 접근성 개선.</w:t>
      </w:r>
      <w:r>
        <w:t xml:space="preserve"> 빈곤 퇴치는 국제 사회의 공동 책임이며, 전기 및 기타 에너지원의 공급을 보장하는 것은 저개발 지역의 빈곤 퇴치와 빈부 격차 해소를 위한 기본 조건 중 하나입니다. 중국은 인류 역사상 가장 많은 사람들에게 혜택을 주는 가장 크고 어려운 빈곤과의 전쟁에서 극심한 빈곤을 성공적으로 퇴치했습니다. 중국은 다른 국가들과 협력하여 저개발 국가와 지역의 에너지 공급 역량을 강화하고 청정 및 재생 에너지를 촉진하려는 노력을 지원하는 것을 목표로 하는 유엔 2030 지속 가능한 개발 의제를 이행할 준비가 되어 있습니다. 이를 통해 모든 사람에게 저렴하고 안정적이며 지속 가능하고 현대적인 에너지에 대한 접근성을 보장한다는 목표를 달성할 수 있을 것입니다. </w:t>
      </w:r>
    </w:p>
    <w:p>
      <w:pPr>
        <w:pStyle w:val="8"/>
      </w:pPr>
      <w:r>
        <w:rPr>
          <w:rFonts w:ascii="TimesNewRomanPS-BoldMT" w:hAnsi="TimesNewRomanPS-BoldMT" w:cs="TimesNewRomanPS-BoldMT"/>
          <w:b/>
          <w:bCs/>
        </w:rPr>
        <w:t xml:space="preserve">- 지구 기후 변화로 인한 도전 과제 해결. </w:t>
      </w:r>
      <w:r>
        <w:t xml:space="preserve">지구는 모든 인류의 고향이며 기후 변화는 모든 국가가 직면한 공통의 과제입니다. 중국은 기후변화에 대한 선제적인 국가 전략을 시행하고, 탄소 최대 배출량과 탄소 중립 목표를 정했으며, 구체적인 행동으로 글로벌 기후변화 대응에 기여해 왔습니다. 중국은 다른 국가들과 협력하여 공평의 원칙과 공통적이지만 차별화된 책임과 각자의 역량을 지키고 파리협정이 제시한 목표를 향해 노력하면서 협력과 상호 이익을 지향하는 공정하고 합리적인 글로벌 기후 거버넌스 시스템을 구축하기 위해 노력할 준비가 되어 있습니다. 선진국은 개발도상국의 재생에너지 보급을 위한 자금, 기술 및 역량 강화를 지원하고, 모든 국가가 더 친환경적이고 포용적이며 지속 가능한 미래를 향해 함께 나아가면서 에너지 공급 안보와 친환경 및 저탄소 에너지 전환이라는 이중 과제를 해결하도록 도와야 합니다.</w:t>
      </w:r>
    </w:p>
    <w:p>
      <w:pPr>
        <w:pStyle w:val="8"/>
      </w:pPr>
    </w:p>
    <w:p>
      <w:pPr>
        <w:pStyle w:val="8"/>
      </w:pPr>
    </w:p>
    <w:p>
      <w:pPr>
        <w:pStyle w:val="7"/>
      </w:pPr>
      <w:r>
        <w:t xml:space="preserve">결론</w:t>
      </w:r>
    </w:p>
    <w:p>
      <w:pPr>
        <w:pStyle w:val="8"/>
      </w:pPr>
      <w:r>
        <w:t xml:space="preserve">지난 10년 동안 중국은 친환경 및 저탄소 에너지로의 단호한 전환에서 괄목할 만한 성공을 거두었습니다. 그러나 에너지 전환은 광범위하고 심오한 의미를 지닌 체계적인 사회경제적 변화이며 새로운 에너지 안보 전략에 따라 꾸준한 진전과 지속적인 노력이 필요한 장기적인 전략적 이니셔티브입니다.</w:t>
      </w:r>
    </w:p>
    <w:p>
      <w:pPr>
        <w:pStyle w:val="8"/>
      </w:pPr>
      <w:r>
        <w:t xml:space="preserve">중국은 중장기 발전 계획을 수립했습니다. 2035년까지 기본적인 사회주의 현대화를 달성하고, 친환경적인 에너지 생산 및 소비 방식을 마련하고, 주요 에너지원을 비화석 연료로 전환하고, 이러한 전환을 지원하기 위한 새로운 전력 시스템을 구축하고, 아름다운 중국 건설이라는 목표를 크게 달성하는 것을 목표로 하고 있습니다. 금세기 중반이 되면 중국은 깨끗하고 저탄소이며 안전하고 효율적인 에너지 시스템을 갖춘 위대한 현대 사회주의 국가가 될 것입니다. 2060년까지 탄소 중립을 달성하기 위해 비화석 연료를 주요 에너지원으로 사용하는 중국의 에너지 효율은 세계 최고 수준이 될 것입니다. </w:t>
      </w:r>
    </w:p>
    <w:p>
      <w:pPr>
        <w:pStyle w:val="8"/>
        <w:rPr>
          <w:rFonts w:hint="eastAsia"/>
        </w:rPr>
      </w:pPr>
      <w:r>
        <w:rPr>
          <w:spacing w:val="-3"/>
        </w:rPr>
        <w:t xml:space="preserve">지구는 우리 </w:t>
      </w:r>
      <w:r>
        <w:t xml:space="preserve">모두의 </w:t>
      </w:r>
      <w:r>
        <w:rPr>
          <w:spacing w:val="-3"/>
        </w:rPr>
        <w:t xml:space="preserve">집이며, 더 푸른 하늘과 더 푸른 산, 더 맑은 물이 있는 깨끗하고 아름다운 세상은 </w:t>
      </w:r>
      <w:r>
        <w:t xml:space="preserve">지구촌 모든 사람들의 </w:t>
      </w:r>
      <w:r>
        <w:rPr>
          <w:spacing w:val="-3"/>
        </w:rPr>
        <w:t xml:space="preserve">공통된 열망입니다</w:t>
      </w:r>
      <w:r>
        <w:t xml:space="preserve">. 기후 변화 문제를 해결하고 지속 가능한 에너지 사용을 달성하기 위해 전 세계는 글로벌 에너지 전환의 속도를 높여야 합니다. 녹색 혁명은 모든 사람과 미래 세대의 복지에 관한 문제입니다. 모든 국가는 인류의 생존을 위해 지구를 보호하기 위해 함께 노력해야 합니다.</w:t>
      </w:r>
    </w:p>
    <w:p>
      <w:pPr>
        <w:pStyle w:val="8"/>
        <w:rPr>
          <w:rFonts w:hint="eastAsia"/>
        </w:rPr>
      </w:pPr>
      <w:r>
        <w:t xml:space="preserve">중국은 자연을 존중하고 자연의 순리를 따르며 자연을 보호하는 데 전념하고 있으며, 미래를 공유하는 글로벌 커뮤니티를 구축한다는 비전을 표방하고 있습니다. 중국은 친환경 및 저탄소 에너지 </w:t>
      </w:r>
      <w:r>
        <w:rPr>
          <w:spacing w:val="-1"/>
        </w:rPr>
        <w:t xml:space="preserve">개발을 </w:t>
      </w:r>
      <w:r>
        <w:t xml:space="preserve">지속적으로 가속화하고 </w:t>
      </w:r>
      <w:r>
        <w:t xml:space="preserve">공평, 정의, 균형, 포용성을 </w:t>
      </w:r>
      <w:r>
        <w:rPr>
          <w:spacing w:val="-1"/>
        </w:rPr>
        <w:t xml:space="preserve">특징으로 하는 글로벌 에너지 거버넌스 시스템을 촉진하고 </w:t>
      </w:r>
      <w:r>
        <w:t xml:space="preserve">있습니다. 중국은 국제 사회의 다른 구성원들과 함께 에너지 협력을 계획하고, 글로벌 기후 변화를 해결하며, 인류와 자연의 조화를 촉진하고, 우리 모두를 위한 깨끗하고 아름다운 세상을 만들기 위해 노력할 것입니다.</w:t>
      </w:r>
    </w:p>
    <w:sectPr>
      <w:pgSz w:w="11906" w:h="16838" w:orient="landscape"/>
      <w:pgMar w:top="1800" w:right="1440" w:bottom="1800" w:left="1440" w:header="720" w:footer="720"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auto"/>
    <w:pitch w:val="default"/>
    <w:sig w:usb0="E00002FF" w:usb1="400004FF" w:usb2="00000000" w:usb3="00000000" w:csb0="2000019F" w:csb1="00000000"/>
  </w:font>
  <w:font w:name="Heiti SC Light">
    <w:altName w:val="微软雅黑"/>
    <w:panose1 w:val="02000000000000000000"/>
    <w:charset w:val="50"/>
    <w:family w:val="auto"/>
    <w:pitch w:val="default"/>
    <w:sig w:usb0="00000000" w:usb1="00000000" w:usb2="00000010" w:usb3="00000000" w:csb0="00040000" w:csb1="00000000"/>
  </w:font>
  <w:font w:name="STXihei">
    <w:altName w:val="微软雅黑"/>
    <w:panose1 w:val="00000000000000000000"/>
    <w:charset w:val="50"/>
    <w:family w:val="auto"/>
    <w:pitch w:val="default"/>
    <w:sig w:usb0="00000000" w:usb1="00000000" w:usb2="00000010" w:usb3="00000000" w:csb0="00040000" w:csb1="00000000"/>
  </w:font>
  <w:font w:name="TimesNewRomanPS-BoldMT">
    <w:altName w:val="Times New Roman"/>
    <w:panose1 w:val="00000000000000000000"/>
    <w:charset w:val="4D"/>
    <w:family w:val="auto"/>
    <w:pitch w:val="default"/>
    <w:sig w:usb0="00000000" w:usb1="00000000" w:usb2="00000000" w:usb3="00000000" w:csb0="00000001" w:csb1="00000000"/>
  </w:font>
  <w:font w:name="TimesNewRomanPSMT">
    <w:altName w:val="Times New Roman"/>
    <w:panose1 w:val="00000000000000000000"/>
    <w:charset w:val="4D"/>
    <w:family w:val="auto"/>
    <w:pitch w:val="default"/>
    <w:sig w:usb0="00000000" w:usb1="00000000" w:usb2="00000000" w:usb3="00000000" w:csb0="00000001" w:csb1="00000000"/>
  </w:font>
  <w:font w:name="ArialMT">
    <w:altName w:val="Arial"/>
    <w:panose1 w:val="00000000000000000000"/>
    <w:charset w:val="4D"/>
    <w:family w:val="auto"/>
    <w:pitch w:val="default"/>
    <w:sig w:usb0="00000000" w:usb1="00000000" w:usb2="00000000" w:usb3="00000000" w:csb0="00000001" w:csb1="00000000"/>
  </w:font>
  <w:font w:name="TimesNewRomanPS-ItalicMT">
    <w:altName w:val="Times New Roman"/>
    <w:panose1 w:val="00000000000000000000"/>
    <w:charset w:val="4D"/>
    <w:family w:val="auto"/>
    <w:pitch w:val="default"/>
    <w:sig w:usb0="00000000" w:usb1="00000000" w:usb2="00000000" w:usb3="00000000" w:csb0="00000001"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4D"/>
    <w:family w:val="auto"/>
    <w:pitch w:val="default"/>
    <w:sig w:usb0="E0002AFF" w:usb1="C0007843" w:usb2="00000009" w:usb3="00000000" w:csb0="400001FF" w:csb1="FFFF0000"/>
  </w:font>
  <w:font w:name="微软雅黑">
    <w:panose1 w:val="020B0503020204020204"/>
    <w:charset w:val="50"/>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93D"/>
    <w:rsid w:val="0027293D"/>
    <w:rsid w:val="002E2F29"/>
    <w:rsid w:val="00941AD7"/>
    <w:rsid w:val="00D236A1"/>
    <w:rsid w:val="1E253209"/>
    <w:rsid w:val="432772EB"/>
    <w:rsid w:val="47B0077E"/>
    <w:rsid w:val="6AA54F5D"/>
    <w:rsid w:val="6F626A5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defLockedState="0" w:defUIPriority="99" w:defSemiHidden="1" w:defUnhideWhenUsed="1" w:defQFormat="0" w:count="260">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uiPriority="35" w:qFormat="1"/>
    <w:lsdException w:name="table of figures" w:uiPriority="99"/>
    <w:lsdException w:name="envelope address" w:uiPriority="99"/>
    <w:lsdException w:name="envelope return" w:uiPriority="99"/>
    <w:lsdException w:name="footnote reference" w:uiPriority="99"/>
    <w:lsdException w:name="annotation reference" w:uiPriority="99"/>
    <w:lsdException w:name="line number" w:uiPriority="99"/>
    <w:lsdException w:name="page number" w:uiPriority="99"/>
    <w:lsdException w:name="endnote reference"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10" w:semiHidden="0" w:unhideWhenUsed="0" w:qFormat="1"/>
    <w:lsdException w:name="Closing" w:uiPriority="99"/>
    <w:lsdException w:name="Signature" w:uiPriority="99"/>
    <w:lsdException w:name="Default Paragraph Font" w:uiPriority="1"/>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uiPriority="11" w:semiHidden="0"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22" w:semiHidden="0" w:unhideWhenUsed="0" w:qFormat="1"/>
    <w:lsdException w:name="Emphasis" w:uiPriority="20" w:semiHidden="0" w:unhideWhenUsed="0" w:qFormat="1"/>
    <w:lsdException w:name="Document Map" w:uiPriority="99"/>
    <w:lsdException w:name="Plain Text" w:uiPriority="99"/>
    <w:lsdException w:name="E-mail Signature"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59" w:semiHidden="0" w:unhideWhenUsed="0"/>
    <w:lsdException w:name="Table Theme" w:uiPriority="99"/>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atentStyles>
  <w:style w:type="paragraph" w:styleId="1" w:default="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styleId="3" w:default="1">
    <w:name w:val="Default Paragraph Font"/>
    <w:semiHidden/>
    <w:unhideWhenUsed/>
    <w:uiPriority w:val="1"/>
  </w:style>
  <w:style w:type="table" w:styleId="4" w:default="1">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2"/>
    <w:semiHidden/>
    <w:unhideWhenUsed/>
    <w:uiPriority w:val="99"/>
    <w:rPr>
      <w:rFonts w:ascii="Heiti SC Light" w:eastAsia="Heiti SC Light"/>
      <w:sz w:val="18"/>
      <w:szCs w:val="18"/>
    </w:rPr>
  </w:style>
  <w:style w:type="paragraph" w:styleId="5" w:customStyle="1">
    <w:name w:val="[基本段落]"/>
    <w:basedOn w:val="1"/>
    <w:qFormat/>
    <w:uiPriority w:val="99"/>
    <w:pPr>
      <w:widowControl/>
      <w:autoSpaceDE w:val="0"/>
      <w:autoSpaceDN w:val="0"/>
      <w:adjustRightInd w:val="0"/>
      <w:spacing w:line="288" w:lineRule="auto"/>
      <w:textAlignment w:val="center"/>
    </w:pPr>
    <w:rPr>
      <w:rFonts w:ascii="STXihei" w:hAnsi="TimesNewRomanPS-BoldMT" w:eastAsia="STXihei" w:cs="STXihei"/>
      <w:color w:val="000000"/>
      <w:kern w:val="0"/>
      <w:lang w:val="zh-CN"/>
    </w:rPr>
  </w:style>
  <w:style w:type="paragraph" w:styleId="6" w:customStyle="1">
    <w:name w:val="[无段落样式]"/>
    <w:qFormat/>
    <w:uiPriority w:val="0"/>
    <w:pPr>
      <w:autoSpaceDE w:val="0"/>
      <w:autoSpaceDN w:val="0"/>
      <w:adjustRightInd w:val="0"/>
      <w:spacing w:line="288" w:lineRule="auto"/>
      <w:jc w:val="both"/>
      <w:textAlignment w:val="center"/>
    </w:pPr>
    <w:rPr>
      <w:rFonts w:ascii="STXihei" w:hAnsi="TimesNewRomanPSMT" w:eastAsia="STXihei" w:cs="STXihei"/>
      <w:color w:val="000000"/>
      <w:kern w:val="0"/>
      <w:sz w:val="24"/>
      <w:szCs w:val="24"/>
      <w:lang w:val="zh-CN" w:eastAsia="zh-CN" w:bidi="ar-SA"/>
    </w:rPr>
  </w:style>
  <w:style w:type="paragraph" w:styleId="7" w:customStyle="1">
    <w:name w:val="英--大标题"/>
    <w:basedOn w:val="6"/>
    <w:uiPriority w:val="99"/>
    <w:pPr>
      <w:tabs>
        <w:tab w:val="left" w:pos="1474"/>
        <w:tab w:val="left" w:pos="3798"/>
      </w:tabs>
      <w:suppressAutoHyphens/>
      <w:spacing w:after="567" w:line="360" w:lineRule="auto"/>
      <w:jc w:val="center"/>
    </w:pPr>
    <w:rPr>
      <w:rFonts w:ascii="TimesNewRomanPS-BoldMT" w:hAnsi="TimesNewRomanPS-BoldMT" w:cs="TimesNewRomanPS-BoldMT" w:eastAsiaTheme="minorEastAsia"/>
      <w:b/>
      <w:bCs/>
      <w:sz w:val="38"/>
      <w:szCs w:val="38"/>
      <w:lang w:val="en-GB"/>
    </w:rPr>
  </w:style>
  <w:style w:type="paragraph" w:styleId="8" w:customStyle="1">
    <w:name w:val="英--正文"/>
    <w:basedOn w:val="6"/>
    <w:uiPriority w:val="99"/>
    <w:pPr>
      <w:suppressAutoHyphens/>
      <w:spacing w:line="340" w:lineRule="atLeast"/>
      <w:ind w:firstLine="510"/>
    </w:pPr>
    <w:rPr>
      <w:rFonts w:ascii="TimesNewRomanPSMT" w:cs="TimesNewRomanPSMT" w:eastAsiaTheme="minorEastAsia"/>
      <w:sz w:val="26"/>
      <w:szCs w:val="26"/>
      <w:lang w:val="en-GB"/>
    </w:rPr>
  </w:style>
  <w:style w:type="paragraph" w:styleId="9" w:customStyle="1">
    <w:name w:val="英--小标题"/>
    <w:basedOn w:val="6"/>
    <w:next w:val="6"/>
    <w:uiPriority w:val="99"/>
    <w:pPr>
      <w:suppressAutoHyphens/>
      <w:spacing w:before="283" w:line="340" w:lineRule="atLeast"/>
      <w:ind w:firstLine="510"/>
    </w:pPr>
    <w:rPr>
      <w:rFonts w:ascii="TimesNewRomanPS-BoldMT" w:hAnsi="TimesNewRomanPS-BoldMT" w:cs="TimesNewRomanPS-BoldMT" w:eastAsiaTheme="minorEastAsia"/>
      <w:b/>
      <w:bCs/>
      <w:sz w:val="26"/>
      <w:szCs w:val="26"/>
      <w:lang w:val="en-GB"/>
    </w:rPr>
  </w:style>
  <w:style w:type="paragraph" w:styleId="10" w:customStyle="1">
    <w:name w:val="1"/>
    <w:basedOn w:val="6"/>
    <w:uiPriority w:val="99"/>
    <w:pPr>
      <w:suppressAutoHyphens/>
      <w:spacing w:line="300" w:lineRule="atLeast"/>
      <w:jc w:val="center"/>
    </w:pPr>
    <w:rPr>
      <w:rFonts w:ascii="TimesNewRomanPS-BoldMT" w:hAnsi="TimesNewRomanPS-BoldMT" w:cs="TimesNewRomanPS-BoldMT" w:eastAsiaTheme="minorEastAsia"/>
      <w:b/>
      <w:bCs/>
      <w:sz w:val="22"/>
      <w:szCs w:val="22"/>
      <w:lang w:val="en-GB"/>
    </w:rPr>
  </w:style>
  <w:style w:type="paragraph" w:styleId="11" w:customStyle="1">
    <w:name w:val="2"/>
    <w:basedOn w:val="6"/>
    <w:uiPriority w:val="99"/>
    <w:pPr>
      <w:suppressAutoHyphens/>
      <w:spacing w:line="300" w:lineRule="atLeast"/>
      <w:ind w:firstLine="397"/>
    </w:pPr>
    <w:rPr>
      <w:rFonts w:ascii="TimesNewRomanPSMT" w:cs="TimesNewRomanPSMT" w:eastAsiaTheme="minorEastAsia"/>
      <w:sz w:val="22"/>
      <w:szCs w:val="22"/>
      <w:lang w:val="en-GB"/>
    </w:rPr>
  </w:style>
  <w:style w:type="character" w:styleId="12" w:customStyle="1">
    <w:name w:val="批注框文本字符"/>
    <w:basedOn w:val="3"/>
    <w:link w:val="2"/>
    <w:semiHidden/>
    <w:uiPriority w:val="99"/>
    <w:rPr>
      <w:rFonts w:ascii="Heiti SC Light" w:eastAsia="Heiti SC Light"/>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emf"/><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ap:Properties xmlns:vt="http://schemas.openxmlformats.org/officeDocument/2006/docPropsVTypes" xmlns:ap="http://schemas.openxmlformats.org/officeDocument/2006/extended-properties">
  <ap:Template>Normal.dotm</ap:Template>
  <ap:Pages>39</ap:Pages>
  <ap:Words>13544</ap:Words>
  <ap:Characters>77204</ap:Characters>
  <ap:Lines>643</ap:Lines>
  <ap:Paragraphs>181</ap:Paragraphs>
  <ap:TotalTime>6</ap:TotalTime>
  <ap:ScaleCrop>false</ap:ScaleCrop>
  <ap:LinksUpToDate>false</ap:LinksUpToDate>
  <ap:CharactersWithSpaces>90567</ap:CharactersWithSpaces>
  <ap:Application>WPS Office_10.8.2.6900_F1E327BC-269C-435d-A152-05C5408002CA</ap:Application>
  <ap:DocSecurity>0</ap:DocSecurity>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2024-08-27T08:45:00.0000000Z</dcterms:created>
  <dc:creator>n w</dc:creator>
  <lastModifiedBy>cws</lastModifiedBy>
  <dcterms:modified xsi:type="dcterms:W3CDTF">2024-08-29T01:59:02.0000000Z</dcterms:modified>
  <revision>1</revision>
  <keywords>, docId:230E4F5C142D7C65B5007BA9CF258D30</keywords>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2052-10.8.2.6900</vt:lpwstr>
  </property>
</Properties>
</file>