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W w:w="0" w:type="auto"/>
        <w:tblLook w:val="04A0" w:firstRow="1" w:lastRow="0" w:firstColumn="1" w:lastColumn="0" w:noHBand="0" w:noVBand="1"/>
      </w:tblPr>
      <w:tblGrid>
        <w:gridCol w:w="1195"/>
        <w:gridCol w:w="7821"/>
      </w:tblGrid>
      <w:tr w:rsidR="002E2903" w14:paraId="060265B6" w14:textId="77777777" w:rsidTr="00FA5DFA">
        <w:trPr>
          <w:trHeight w:val="987"/>
        </w:trPr>
        <w:tc>
          <w:tcPr>
            <w:tcW w:w="1195" w:type="dxa"/>
          </w:tcPr>
          <w:p w14:paraId="4709271F" w14:textId="77777777" w:rsidR="002E2903" w:rsidRDefault="0016084D">
            <w:pPr>
              <w:jc w:val="center"/>
              <w:rPr>
                <w:b/>
                <w:sz w:val="22"/>
              </w:rPr>
            </w:pPr>
            <w:r>
              <w:rPr>
                <w:rFonts w:hint="eastAsia"/>
                <w:b/>
                <w:sz w:val="22"/>
              </w:rPr>
              <w:t>I</w:t>
            </w:r>
            <w:r>
              <w:rPr>
                <w:b/>
                <w:sz w:val="22"/>
              </w:rPr>
              <w:t>ssue/</w:t>
            </w:r>
          </w:p>
          <w:p w14:paraId="0CCD2BCD" w14:textId="7C29FDA5" w:rsidR="0016084D" w:rsidRDefault="0016084D">
            <w:pPr>
              <w:jc w:val="center"/>
              <w:rPr>
                <w:b/>
                <w:sz w:val="22"/>
              </w:rPr>
            </w:pPr>
            <w:r>
              <w:rPr>
                <w:rFonts w:hint="eastAsia"/>
                <w:b/>
                <w:sz w:val="22"/>
              </w:rPr>
              <w:t>D</w:t>
            </w:r>
            <w:r>
              <w:rPr>
                <w:b/>
                <w:sz w:val="22"/>
              </w:rPr>
              <w:t>ate</w:t>
            </w:r>
          </w:p>
        </w:tc>
        <w:tc>
          <w:tcPr>
            <w:tcW w:w="7821" w:type="dxa"/>
          </w:tcPr>
          <w:p w14:paraId="531BC566" w14:textId="7EF29857" w:rsidR="002E2903" w:rsidRDefault="00AD5905">
            <w:pPr>
              <w:rPr>
                <w:szCs w:val="20"/>
              </w:rPr>
            </w:pPr>
            <w:r>
              <w:rPr>
                <w:rFonts w:hint="eastAsia"/>
                <w:szCs w:val="20"/>
              </w:rPr>
              <w:t>2</w:t>
            </w:r>
            <w:r w:rsidR="00FC681B">
              <w:rPr>
                <w:rFonts w:hint="eastAsia"/>
                <w:szCs w:val="20"/>
              </w:rPr>
              <w:t>5</w:t>
            </w:r>
            <w:r w:rsidR="00E36EF8">
              <w:rPr>
                <w:rFonts w:hint="eastAsia"/>
                <w:szCs w:val="20"/>
              </w:rPr>
              <w:t>4</w:t>
            </w:r>
            <w:r>
              <w:rPr>
                <w:rFonts w:hint="eastAsia"/>
                <w:szCs w:val="20"/>
              </w:rPr>
              <w:t>호</w:t>
            </w:r>
          </w:p>
          <w:p w14:paraId="36160674" w14:textId="20AAD952" w:rsidR="00AD5905" w:rsidRDefault="00E36EF8">
            <w:pPr>
              <w:rPr>
                <w:szCs w:val="20"/>
              </w:rPr>
            </w:pPr>
            <w:r>
              <w:rPr>
                <w:rFonts w:hint="eastAsia"/>
                <w:szCs w:val="20"/>
              </w:rPr>
              <w:t>September</w:t>
            </w:r>
            <w:r w:rsidR="00E40264">
              <w:rPr>
                <w:rFonts w:hint="eastAsia"/>
                <w:szCs w:val="20"/>
              </w:rPr>
              <w:t xml:space="preserve"> </w:t>
            </w:r>
            <w:r w:rsidR="00AD5905">
              <w:rPr>
                <w:rFonts w:hint="eastAsia"/>
                <w:szCs w:val="20"/>
              </w:rPr>
              <w:t>2</w:t>
            </w:r>
            <w:r w:rsidR="00AD5905">
              <w:rPr>
                <w:szCs w:val="20"/>
              </w:rPr>
              <w:t>02</w:t>
            </w:r>
            <w:r w:rsidR="00E40264">
              <w:rPr>
                <w:rFonts w:hint="eastAsia"/>
                <w:szCs w:val="20"/>
              </w:rPr>
              <w:t>6</w:t>
            </w:r>
          </w:p>
        </w:tc>
      </w:tr>
      <w:tr w:rsidR="0016084D" w14:paraId="01A31825" w14:textId="77777777" w:rsidTr="00AD5905">
        <w:trPr>
          <w:trHeight w:val="549"/>
        </w:trPr>
        <w:tc>
          <w:tcPr>
            <w:tcW w:w="1195" w:type="dxa"/>
          </w:tcPr>
          <w:p w14:paraId="4A4D6C5D" w14:textId="12D3BF6A" w:rsidR="0016084D" w:rsidRDefault="0016084D">
            <w:pPr>
              <w:jc w:val="center"/>
              <w:rPr>
                <w:b/>
                <w:sz w:val="22"/>
              </w:rPr>
            </w:pPr>
            <w:r>
              <w:rPr>
                <w:rFonts w:hint="eastAsia"/>
                <w:b/>
                <w:sz w:val="22"/>
              </w:rPr>
              <w:t>R</w:t>
            </w:r>
            <w:r>
              <w:rPr>
                <w:b/>
                <w:sz w:val="22"/>
              </w:rPr>
              <w:t>eporter</w:t>
            </w:r>
          </w:p>
        </w:tc>
        <w:tc>
          <w:tcPr>
            <w:tcW w:w="7821" w:type="dxa"/>
          </w:tcPr>
          <w:p w14:paraId="17430853" w14:textId="7658FE63" w:rsidR="0016084D" w:rsidRDefault="00F10A48">
            <w:pPr>
              <w:rPr>
                <w:szCs w:val="20"/>
              </w:rPr>
            </w:pPr>
            <w:r>
              <w:rPr>
                <w:rFonts w:hint="eastAsia"/>
                <w:szCs w:val="20"/>
              </w:rPr>
              <w:t xml:space="preserve">62기 </w:t>
            </w:r>
            <w:r w:rsidR="00E40264">
              <w:rPr>
                <w:rFonts w:hint="eastAsia"/>
                <w:szCs w:val="20"/>
              </w:rPr>
              <w:t xml:space="preserve">사회부 </w:t>
            </w:r>
            <w:r w:rsidR="00E36EF8">
              <w:rPr>
                <w:rFonts w:hint="eastAsia"/>
                <w:szCs w:val="20"/>
              </w:rPr>
              <w:t>부장</w:t>
            </w:r>
            <w:r w:rsidR="00E40264">
              <w:rPr>
                <w:rFonts w:hint="eastAsia"/>
                <w:szCs w:val="20"/>
              </w:rPr>
              <w:t>기자</w:t>
            </w:r>
            <w:r>
              <w:rPr>
                <w:rFonts w:hint="eastAsia"/>
                <w:szCs w:val="20"/>
              </w:rPr>
              <w:t xml:space="preserve"> 임동현</w:t>
            </w:r>
          </w:p>
        </w:tc>
      </w:tr>
      <w:tr w:rsidR="0016084D" w14:paraId="0910E3B5" w14:textId="77777777" w:rsidTr="00AD5905">
        <w:trPr>
          <w:trHeight w:val="549"/>
        </w:trPr>
        <w:tc>
          <w:tcPr>
            <w:tcW w:w="1195" w:type="dxa"/>
          </w:tcPr>
          <w:p w14:paraId="07ED9B13" w14:textId="125BD783" w:rsidR="0016084D" w:rsidRDefault="0016084D">
            <w:pPr>
              <w:jc w:val="center"/>
              <w:rPr>
                <w:b/>
                <w:sz w:val="22"/>
              </w:rPr>
            </w:pPr>
            <w:r>
              <w:rPr>
                <w:rFonts w:hint="eastAsia"/>
                <w:b/>
                <w:sz w:val="22"/>
              </w:rPr>
              <w:t>S</w:t>
            </w:r>
            <w:r>
              <w:rPr>
                <w:b/>
                <w:sz w:val="22"/>
              </w:rPr>
              <w:t>ection</w:t>
            </w:r>
          </w:p>
        </w:tc>
        <w:tc>
          <w:tcPr>
            <w:tcW w:w="7821" w:type="dxa"/>
          </w:tcPr>
          <w:p w14:paraId="4162DEFA" w14:textId="30E10402" w:rsidR="0016084D" w:rsidRDefault="00E40264">
            <w:pPr>
              <w:rPr>
                <w:szCs w:val="20"/>
              </w:rPr>
            </w:pPr>
            <w:r>
              <w:rPr>
                <w:rFonts w:hint="eastAsia"/>
                <w:szCs w:val="20"/>
              </w:rPr>
              <w:t>Opinion</w:t>
            </w:r>
          </w:p>
        </w:tc>
      </w:tr>
      <w:tr w:rsidR="002E2903" w14:paraId="38E889F2" w14:textId="77777777" w:rsidTr="00AD5905">
        <w:trPr>
          <w:trHeight w:val="554"/>
        </w:trPr>
        <w:tc>
          <w:tcPr>
            <w:tcW w:w="1195" w:type="dxa"/>
          </w:tcPr>
          <w:p w14:paraId="2504BB3B" w14:textId="77777777" w:rsidR="002E2903" w:rsidRDefault="00B33690">
            <w:pPr>
              <w:jc w:val="center"/>
              <w:rPr>
                <w:b/>
                <w:sz w:val="22"/>
              </w:rPr>
            </w:pPr>
            <w:r>
              <w:rPr>
                <w:rFonts w:hint="eastAsia"/>
                <w:b/>
                <w:sz w:val="22"/>
              </w:rPr>
              <w:t>T</w:t>
            </w:r>
            <w:r>
              <w:rPr>
                <w:b/>
                <w:sz w:val="22"/>
              </w:rPr>
              <w:t>itle</w:t>
            </w:r>
          </w:p>
        </w:tc>
        <w:tc>
          <w:tcPr>
            <w:tcW w:w="7821" w:type="dxa"/>
          </w:tcPr>
          <w:p w14:paraId="418F7E2E" w14:textId="3C37B4C8" w:rsidR="002E2903" w:rsidRPr="0035591C" w:rsidRDefault="0035591C">
            <w:pPr>
              <w:rPr>
                <w:szCs w:val="20"/>
              </w:rPr>
            </w:pPr>
            <w:r w:rsidRPr="0035591C">
              <w:rPr>
                <w:szCs w:val="20"/>
              </w:rPr>
              <w:t>우리가 잃어버린 ‘진짜’ 교육에 대하여</w:t>
            </w:r>
          </w:p>
        </w:tc>
      </w:tr>
      <w:tr w:rsidR="002E2903" w14:paraId="63F388F4" w14:textId="77777777" w:rsidTr="00AD5905">
        <w:trPr>
          <w:trHeight w:val="523"/>
        </w:trPr>
        <w:tc>
          <w:tcPr>
            <w:tcW w:w="1195" w:type="dxa"/>
          </w:tcPr>
          <w:p w14:paraId="4C00DD95" w14:textId="77777777" w:rsidR="002E2903" w:rsidRDefault="00B33690">
            <w:pPr>
              <w:jc w:val="center"/>
              <w:rPr>
                <w:b/>
                <w:sz w:val="22"/>
              </w:rPr>
            </w:pPr>
            <w:r>
              <w:rPr>
                <w:rFonts w:hint="eastAsia"/>
                <w:b/>
                <w:sz w:val="22"/>
              </w:rPr>
              <w:t>P</w:t>
            </w:r>
            <w:r>
              <w:rPr>
                <w:b/>
                <w:sz w:val="22"/>
              </w:rPr>
              <w:t>urpose</w:t>
            </w:r>
          </w:p>
        </w:tc>
        <w:tc>
          <w:tcPr>
            <w:tcW w:w="7821" w:type="dxa"/>
          </w:tcPr>
          <w:p w14:paraId="584180B5" w14:textId="61C6AF58" w:rsidR="002E2903" w:rsidRPr="00826E27" w:rsidRDefault="00826E27">
            <w:pPr>
              <w:rPr>
                <w:szCs w:val="20"/>
              </w:rPr>
            </w:pPr>
            <w:r w:rsidRPr="00826E27">
              <w:rPr>
                <w:szCs w:val="20"/>
              </w:rPr>
              <w:t>드라마 ‘참교육’ 열풍을 통해 교권 침해 실태를 알리고, 국가의 법적 보호와 책임 강화를 촉구</w:t>
            </w:r>
            <w:r w:rsidRPr="00826E27">
              <w:rPr>
                <w:rFonts w:hint="eastAsia"/>
                <w:szCs w:val="20"/>
              </w:rPr>
              <w:t>하고자 한다</w:t>
            </w:r>
            <w:r w:rsidR="00684348" w:rsidRPr="00826E27">
              <w:rPr>
                <w:rFonts w:hint="eastAsia"/>
                <w:szCs w:val="20"/>
              </w:rPr>
              <w:t>.</w:t>
            </w:r>
          </w:p>
        </w:tc>
      </w:tr>
      <w:tr w:rsidR="002E2903" w14:paraId="68FE8192" w14:textId="77777777" w:rsidTr="00FA5DFA">
        <w:trPr>
          <w:trHeight w:val="7429"/>
        </w:trPr>
        <w:tc>
          <w:tcPr>
            <w:tcW w:w="1195" w:type="dxa"/>
          </w:tcPr>
          <w:p w14:paraId="10D9D362" w14:textId="77777777" w:rsidR="002E2903" w:rsidRDefault="00B33690">
            <w:pPr>
              <w:spacing w:before="240"/>
              <w:jc w:val="center"/>
              <w:rPr>
                <w:b/>
                <w:sz w:val="22"/>
              </w:rPr>
            </w:pPr>
            <w:r>
              <w:rPr>
                <w:b/>
                <w:sz w:val="22"/>
              </w:rPr>
              <w:t>Outline</w:t>
            </w:r>
          </w:p>
        </w:tc>
        <w:tc>
          <w:tcPr>
            <w:tcW w:w="7821" w:type="dxa"/>
          </w:tcPr>
          <w:p w14:paraId="0F8F08CF" w14:textId="3E83A183" w:rsidR="002E2903" w:rsidRDefault="00B33690">
            <w:pPr>
              <w:spacing w:before="240"/>
              <w:rPr>
                <w:rFonts w:ascii="맑은 고딕" w:eastAsia="맑은 고딕" w:hAnsi="맑은 고딕"/>
                <w:color w:val="000000"/>
                <w:szCs w:val="20"/>
                <w:shd w:val="clear" w:color="auto" w:fill="FFFFFF"/>
              </w:rPr>
            </w:pPr>
            <w:r>
              <w:rPr>
                <w:rFonts w:ascii="맑은 고딕" w:eastAsia="맑은 고딕" w:hAnsi="맑은 고딕" w:hint="eastAsia"/>
                <w:color w:val="000000"/>
                <w:szCs w:val="20"/>
                <w:shd w:val="clear" w:color="auto" w:fill="FFFFFF"/>
              </w:rPr>
              <w:t>(</w:t>
            </w:r>
            <w:r w:rsidR="00AD5905">
              <w:rPr>
                <w:rFonts w:ascii="맑은 고딕" w:eastAsia="맑은 고딕" w:hAnsi="맑은 고딕" w:hint="eastAsia"/>
                <w:color w:val="000000"/>
                <w:szCs w:val="20"/>
                <w:shd w:val="clear" w:color="auto" w:fill="FFFFFF"/>
              </w:rPr>
              <w:t>1문단</w:t>
            </w:r>
            <w:r>
              <w:rPr>
                <w:rFonts w:ascii="맑은 고딕" w:eastAsia="맑은 고딕" w:hAnsi="맑은 고딕" w:hint="eastAsia"/>
                <w:color w:val="000000"/>
                <w:szCs w:val="20"/>
                <w:shd w:val="clear" w:color="auto" w:fill="FFFFFF"/>
              </w:rPr>
              <w:t>)</w:t>
            </w:r>
            <w:r w:rsidR="001A6A04">
              <w:rPr>
                <w:rFonts w:ascii="맑은 고딕" w:eastAsia="맑은 고딕" w:hAnsi="맑은 고딕" w:hint="eastAsia"/>
                <w:color w:val="000000"/>
                <w:szCs w:val="20"/>
                <w:shd w:val="clear" w:color="auto" w:fill="FFFFFF"/>
              </w:rPr>
              <w:t xml:space="preserve"> </w:t>
            </w:r>
            <w:r w:rsidR="001A6A04" w:rsidRPr="001A6A04">
              <w:rPr>
                <w:rFonts w:ascii="맑은 고딕" w:eastAsia="맑은 고딕" w:hAnsi="맑은 고딕"/>
                <w:b/>
                <w:bCs/>
                <w:color w:val="000000"/>
                <w:szCs w:val="20"/>
                <w:shd w:val="clear" w:color="auto" w:fill="FFFFFF"/>
              </w:rPr>
              <w:t>판타지에 열광하는 사회의 비명</w:t>
            </w:r>
          </w:p>
          <w:p w14:paraId="7D519522" w14:textId="4743498F" w:rsidR="002E2903" w:rsidRPr="0036384E" w:rsidRDefault="002E0982">
            <w:r w:rsidRPr="002E0982">
              <w:t>넷플릭스 드라마 ‘참교육’이 전 세계적인 인기를 끌며 비영어 쇼 부문 1위에 올랐다. 이 드라마는 가상의 기구인 ‘교권보호국’ 감독관들이 폭력과 응징을 통해 무너진 교육 현장을 바로잡는 내용을 담고 있다</w:t>
            </w:r>
            <w:r w:rsidR="00C9674E">
              <w:rPr>
                <w:rFonts w:hint="eastAsia"/>
              </w:rPr>
              <w:t>.</w:t>
            </w:r>
            <w:r w:rsidRPr="002E0982">
              <w:t xml:space="preserve"> 사람들은 학교폭력 가해자와 몰상식한 학부모를 시원하게 처단하는 모습에서 강렬한 카타르시스를 느낀다. </w:t>
            </w:r>
            <w:proofErr w:type="gramStart"/>
            <w:r w:rsidRPr="002E0982">
              <w:t>하지만  이</w:t>
            </w:r>
            <w:proofErr w:type="gramEnd"/>
            <w:r w:rsidRPr="002E0982">
              <w:t xml:space="preserve"> 열광의 이면에서 우리 사회의 깊은 무력감</w:t>
            </w:r>
            <w:r w:rsidR="00C35113">
              <w:rPr>
                <w:rFonts w:hint="eastAsia"/>
              </w:rPr>
              <w:t>도 찾을 수 있</w:t>
            </w:r>
            <w:r w:rsidRPr="002E0982">
              <w:t xml:space="preserve">다. </w:t>
            </w:r>
            <w:r w:rsidR="00C633FC" w:rsidRPr="00C633FC">
              <w:t>공권력이 폭력을 휘두르는 판타지에서 정의를 찾으려는 열광은, 그만큼 현실이 답답하게 인식되고 있음을 보여준다.</w:t>
            </w:r>
            <w:r w:rsidRPr="002E0982">
              <w:t xml:space="preserve"> 이 드라마의 흥행은 단순히 재미를 넘어, 이미 붕괴 직전에 몰린 우리 교육 현장의 비명 섞인 민낯을 비추는 거울이다</w:t>
            </w:r>
            <w:r w:rsidR="008B672B">
              <w:rPr>
                <w:rFonts w:hint="eastAsia"/>
              </w:rPr>
              <w:t>.</w:t>
            </w:r>
          </w:p>
          <w:p w14:paraId="3DD33270" w14:textId="177CCDAB" w:rsidR="002E2903" w:rsidRDefault="00B33690">
            <w:pPr>
              <w:spacing w:before="240"/>
              <w:rPr>
                <w:rFonts w:ascii="맑은 고딕" w:eastAsia="맑은 고딕" w:hAnsi="맑은 고딕"/>
                <w:color w:val="000000"/>
                <w:szCs w:val="20"/>
                <w:shd w:val="clear" w:color="auto" w:fill="FFFFFF"/>
              </w:rPr>
            </w:pPr>
            <w:r>
              <w:rPr>
                <w:rFonts w:ascii="맑은 고딕" w:eastAsia="맑은 고딕" w:hAnsi="맑은 고딕" w:hint="eastAsia"/>
                <w:color w:val="000000"/>
                <w:szCs w:val="20"/>
                <w:shd w:val="clear" w:color="auto" w:fill="FFFFFF"/>
              </w:rPr>
              <w:t>(</w:t>
            </w:r>
            <w:r w:rsidR="00AD5905">
              <w:rPr>
                <w:rFonts w:ascii="맑은 고딕" w:eastAsia="맑은 고딕" w:hAnsi="맑은 고딕" w:hint="eastAsia"/>
                <w:color w:val="000000"/>
                <w:szCs w:val="20"/>
                <w:shd w:val="clear" w:color="auto" w:fill="FFFFFF"/>
              </w:rPr>
              <w:t>2문단</w:t>
            </w:r>
            <w:r>
              <w:rPr>
                <w:rFonts w:ascii="맑은 고딕" w:eastAsia="맑은 고딕" w:hAnsi="맑은 고딕" w:hint="eastAsia"/>
                <w:color w:val="000000"/>
                <w:szCs w:val="20"/>
                <w:shd w:val="clear" w:color="auto" w:fill="FFFFFF"/>
              </w:rPr>
              <w:t>)</w:t>
            </w:r>
            <w:r>
              <w:rPr>
                <w:noProof/>
              </w:rPr>
              <w:drawing>
                <wp:anchor distT="0" distB="0" distL="114300" distR="114300" simplePos="0" relativeHeight="251660288" behindDoc="0" locked="0" layoutInCell="1" hidden="0" allowOverlap="1" wp14:anchorId="3BD91CE4" wp14:editId="13362787">
                  <wp:simplePos x="0" y="0"/>
                  <wp:positionH relativeFrom="column">
                    <wp:posOffset>0</wp:posOffset>
                  </wp:positionH>
                  <wp:positionV relativeFrom="paragraph">
                    <wp:posOffset>0</wp:posOffset>
                  </wp:positionV>
                  <wp:extent cx="9525" cy="9525"/>
                  <wp:effectExtent l="0" t="0" r="0" b="0"/>
                  <wp:wrapNone/>
                  <wp:docPr id="1025" name="shape10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이미지"/>
                          <pic:cNvPicPr preferRelativeResize="0">
                            <a:picLocks/>
                          </pic:cNvPicPr>
                        </pic:nvPicPr>
                        <pic:blipFill>
                          <a:blip r:embed="rId7">
                            <a:extLst>
                              <a:ext uri="{28A0092B-C50C-407E-A947-70E740481C1C}">
                                <a14:useLocalDpi xmlns:a14="http://schemas.microsoft.com/office/drawing/2010/main" val="0"/>
                              </a:ext>
                            </a:extLst>
                          </a:blip>
                          <a:srcRect/>
                          <a:stretch>
                            <a:fillRect/>
                          </a:stretch>
                        </pic:blipFill>
                        <pic:spPr>
                          <a:xfrm>
                            <a:off x="0" y="0"/>
                            <a:ext cx="9525" cy="9525"/>
                          </a:xfrm>
                          <a:prstGeom prst="rect">
                            <a:avLst/>
                          </a:prstGeom>
                        </pic:spPr>
                      </pic:pic>
                    </a:graphicData>
                  </a:graphic>
                </wp:anchor>
              </w:drawing>
            </w:r>
            <w:r w:rsidR="001A6A04">
              <w:rPr>
                <w:rFonts w:ascii="맑은 고딕" w:eastAsia="맑은 고딕" w:hAnsi="맑은 고딕" w:hint="eastAsia"/>
                <w:color w:val="000000"/>
                <w:szCs w:val="20"/>
                <w:shd w:val="clear" w:color="auto" w:fill="FFFFFF"/>
              </w:rPr>
              <w:t xml:space="preserve"> </w:t>
            </w:r>
            <w:r w:rsidR="00995383" w:rsidRPr="00995383">
              <w:rPr>
                <w:rFonts w:ascii="맑은 고딕" w:eastAsia="맑은 고딕" w:hAnsi="맑은 고딕"/>
                <w:b/>
                <w:bCs/>
                <w:color w:val="000000"/>
                <w:szCs w:val="20"/>
                <w:shd w:val="clear" w:color="auto" w:fill="FFFFFF"/>
              </w:rPr>
              <w:t>드라마보다 더 비현실적인 현실</w:t>
            </w:r>
          </w:p>
          <w:p w14:paraId="6A42BA8B" w14:textId="449FDD6F" w:rsidR="002E2903" w:rsidRPr="008944E0" w:rsidRDefault="002860C3">
            <w:pPr>
              <w:spacing w:line="375" w:lineRule="atLeast"/>
            </w:pPr>
            <w:r w:rsidRPr="002860C3">
              <w:t xml:space="preserve">현직 교사들은 “현실은 드라마보다 더하다”고 입을 모은다. 실제로 지역교권보호위원회는 하루 평균 11건 이상 열리고 있으며, 폭행이나 성폭력 같은 중대 범죄 수준의 교권 침해가 해마다 급증하고 있다. 교실 환기를 위해 창문을 열었다고 아동학대로 신고당하고, 수학 문제를 풀게 했다고 정서적 학대라는 비난을 듣는 것이 오늘날 교실의 풍경이다. </w:t>
            </w:r>
            <w:r w:rsidR="00967E7C" w:rsidRPr="00967E7C">
              <w:t>진정 비현실적인 것은 드라마 속 감독관의 몽둥이가 아니라, 정당한 교육 활동조차 범죄로 취급받을까 봐 매일 ‘피소 공포’에 떨며 교단에 서야 하는 교사들의 기형적인 일상 그 자체이다</w:t>
            </w:r>
            <w:r w:rsidR="00FF5D73" w:rsidRPr="008944E0">
              <w:rPr>
                <w:rFonts w:hint="eastAsia"/>
              </w:rPr>
              <w:t>.</w:t>
            </w:r>
          </w:p>
          <w:p w14:paraId="1CFB47C1" w14:textId="46B5F132" w:rsidR="002E2903" w:rsidRDefault="00B33690">
            <w:pPr>
              <w:rPr>
                <w:rFonts w:ascii="맑은 고딕" w:eastAsia="맑은 고딕" w:hAnsi="맑은 고딕"/>
                <w:color w:val="000000"/>
                <w:szCs w:val="20"/>
                <w:shd w:val="clear" w:color="auto" w:fill="FFFFFF"/>
              </w:rPr>
            </w:pPr>
            <w:r>
              <w:rPr>
                <w:rFonts w:ascii="맑은 고딕" w:eastAsia="맑은 고딕" w:hAnsi="맑은 고딕" w:hint="eastAsia"/>
                <w:color w:val="000000"/>
                <w:szCs w:val="20"/>
                <w:shd w:val="clear" w:color="auto" w:fill="FFFFFF"/>
              </w:rPr>
              <w:t>(</w:t>
            </w:r>
            <w:r w:rsidR="00AD5905">
              <w:rPr>
                <w:rFonts w:ascii="맑은 고딕" w:eastAsia="맑은 고딕" w:hAnsi="맑은 고딕" w:hint="eastAsia"/>
                <w:color w:val="000000"/>
                <w:szCs w:val="20"/>
                <w:shd w:val="clear" w:color="auto" w:fill="FFFFFF"/>
              </w:rPr>
              <w:t>3문단</w:t>
            </w:r>
            <w:r>
              <w:rPr>
                <w:rFonts w:ascii="맑은 고딕" w:eastAsia="맑은 고딕" w:hAnsi="맑은 고딕" w:hint="eastAsia"/>
                <w:color w:val="000000"/>
                <w:szCs w:val="20"/>
                <w:shd w:val="clear" w:color="auto" w:fill="FFFFFF"/>
              </w:rPr>
              <w:t>)</w:t>
            </w:r>
            <w:r w:rsidR="00995383">
              <w:rPr>
                <w:rFonts w:ascii="맑은 고딕" w:eastAsia="맑은 고딕" w:hAnsi="맑은 고딕" w:hint="eastAsia"/>
                <w:color w:val="000000"/>
                <w:szCs w:val="20"/>
                <w:shd w:val="clear" w:color="auto" w:fill="FFFFFF"/>
              </w:rPr>
              <w:t xml:space="preserve"> </w:t>
            </w:r>
            <w:r w:rsidR="00995383" w:rsidRPr="00995383">
              <w:rPr>
                <w:rFonts w:ascii="맑은 고딕" w:eastAsia="맑은 고딕" w:hAnsi="맑은 고딕"/>
                <w:b/>
                <w:bCs/>
                <w:color w:val="000000"/>
                <w:szCs w:val="20"/>
                <w:shd w:val="clear" w:color="auto" w:fill="FFFFFF"/>
              </w:rPr>
              <w:t>방패가 되어주지 못한 ‘민원대응팀’</w:t>
            </w:r>
          </w:p>
          <w:p w14:paraId="3D14FCBA" w14:textId="38A3250A" w:rsidR="002E2903" w:rsidRDefault="00074F26">
            <w:pPr>
              <w:spacing w:before="240"/>
              <w:rPr>
                <w:rFonts w:ascii="맑은 고딕" w:eastAsia="맑은 고딕" w:hAnsi="맑은 고딕"/>
                <w:color w:val="000000"/>
                <w:szCs w:val="20"/>
                <w:shd w:val="clear" w:color="auto" w:fill="FFFFFF"/>
              </w:rPr>
            </w:pPr>
            <w:r w:rsidRPr="00074F26">
              <w:rPr>
                <w:rFonts w:ascii="맑은 고딕" w:eastAsia="맑은 고딕" w:hAnsi="맑은 고딕"/>
                <w:color w:val="000000"/>
                <w:szCs w:val="20"/>
                <w:shd w:val="clear" w:color="auto" w:fill="FFFFFF"/>
              </w:rPr>
              <w:t xml:space="preserve">정부는 서이초 사건 이후 교사를 보호하겠다며 학교마다 </w:t>
            </w:r>
            <w:r w:rsidR="00967E7C">
              <w:rPr>
                <w:rFonts w:ascii="맑은 고딕" w:eastAsia="맑은 고딕" w:hAnsi="맑은 고딕"/>
                <w:color w:val="000000"/>
                <w:szCs w:val="20"/>
                <w:shd w:val="clear" w:color="auto" w:fill="FFFFFF"/>
              </w:rPr>
              <w:t>“</w:t>
            </w:r>
            <w:r w:rsidRPr="00074F26">
              <w:rPr>
                <w:rFonts w:ascii="맑은 고딕" w:eastAsia="맑은 고딕" w:hAnsi="맑은 고딕"/>
                <w:color w:val="000000"/>
                <w:szCs w:val="20"/>
                <w:shd w:val="clear" w:color="auto" w:fill="FFFFFF"/>
              </w:rPr>
              <w:t>민원대응팀</w:t>
            </w:r>
            <w:r w:rsidR="00967E7C">
              <w:rPr>
                <w:rFonts w:ascii="맑은 고딕" w:eastAsia="맑은 고딕" w:hAnsi="맑은 고딕"/>
                <w:color w:val="000000"/>
                <w:szCs w:val="20"/>
                <w:shd w:val="clear" w:color="auto" w:fill="FFFFFF"/>
              </w:rPr>
              <w:t>”</w:t>
            </w:r>
            <w:r w:rsidRPr="00074F26">
              <w:rPr>
                <w:rFonts w:ascii="맑은 고딕" w:eastAsia="맑은 고딕" w:hAnsi="맑은 고딕"/>
                <w:color w:val="000000"/>
                <w:szCs w:val="20"/>
                <w:shd w:val="clear" w:color="auto" w:fill="FFFFFF"/>
              </w:rPr>
              <w:t>을 만들었지만, 그 실효성은 의문투성이다. 통계에 따르면 민원 건수는 늘어났는데, 민원대응팀이 직접 처리하기보다 담당 교사에게 일을 다시 이관하는 비율이 오히려 높아졌다. 심지어 민원대응팀 구성원의 상당수가 일반 교사라는 점은 이 시스템이 얼마나 허울뿐인지를 잘 보여준다. 이름만 거창한 대응팀 뒤에서 교사들은 여전히 악</w:t>
            </w:r>
            <w:r w:rsidRPr="00074F26">
              <w:rPr>
                <w:rFonts w:ascii="맑은 고딕" w:eastAsia="맑은 고딕" w:hAnsi="맑은 고딕"/>
                <w:color w:val="000000"/>
                <w:szCs w:val="20"/>
                <w:shd w:val="clear" w:color="auto" w:fill="FFFFFF"/>
              </w:rPr>
              <w:lastRenderedPageBreak/>
              <w:t>성 민원의 최전방에 고립되어 있다. 시스템은 존재하되 작동하지 않고, 책임지는 리더는 보이지 않는 구조적 결함이야말로 우리가 판타지에 매달리게 되는 근본적인 이유다.</w:t>
            </w:r>
            <w:r w:rsidR="00B6377F">
              <w:rPr>
                <w:rFonts w:ascii="맑은 고딕" w:eastAsia="맑은 고딕" w:hAnsi="맑은 고딕" w:hint="eastAsia"/>
                <w:color w:val="000000"/>
                <w:szCs w:val="20"/>
                <w:shd w:val="clear" w:color="auto" w:fill="FFFFFF"/>
              </w:rPr>
              <w:t xml:space="preserve"> </w:t>
            </w:r>
          </w:p>
          <w:p w14:paraId="653DCB18" w14:textId="079ABD81" w:rsidR="00AD5905" w:rsidRDefault="00AD5905">
            <w:pPr>
              <w:spacing w:before="240"/>
              <w:rPr>
                <w:rFonts w:ascii="맑은 고딕" w:eastAsia="맑은 고딕" w:hAnsi="맑은 고딕"/>
                <w:color w:val="000000"/>
                <w:szCs w:val="20"/>
                <w:shd w:val="clear" w:color="auto" w:fill="FFFFFF"/>
              </w:rPr>
            </w:pPr>
            <w:r>
              <w:rPr>
                <w:rFonts w:ascii="맑은 고딕" w:eastAsia="맑은 고딕" w:hAnsi="맑은 고딕" w:hint="eastAsia"/>
                <w:color w:val="000000"/>
                <w:szCs w:val="20"/>
                <w:shd w:val="clear" w:color="auto" w:fill="FFFFFF"/>
              </w:rPr>
              <w:t>(</w:t>
            </w:r>
            <w:r>
              <w:rPr>
                <w:rFonts w:ascii="맑은 고딕" w:eastAsia="맑은 고딕" w:hAnsi="맑은 고딕"/>
                <w:color w:val="000000"/>
                <w:szCs w:val="20"/>
                <w:shd w:val="clear" w:color="auto" w:fill="FFFFFF"/>
              </w:rPr>
              <w:t>4</w:t>
            </w:r>
            <w:r>
              <w:rPr>
                <w:rFonts w:ascii="맑은 고딕" w:eastAsia="맑은 고딕" w:hAnsi="맑은 고딕" w:hint="eastAsia"/>
                <w:color w:val="000000"/>
                <w:szCs w:val="20"/>
                <w:shd w:val="clear" w:color="auto" w:fill="FFFFFF"/>
              </w:rPr>
              <w:t>문단</w:t>
            </w:r>
            <w:r>
              <w:rPr>
                <w:rFonts w:ascii="맑은 고딕" w:eastAsia="맑은 고딕" w:hAnsi="맑은 고딕"/>
                <w:color w:val="000000"/>
                <w:szCs w:val="20"/>
                <w:shd w:val="clear" w:color="auto" w:fill="FFFFFF"/>
              </w:rPr>
              <w:t>)</w:t>
            </w:r>
            <w:r w:rsidR="00670A0F">
              <w:rPr>
                <w:rFonts w:ascii="맑은 고딕" w:eastAsia="맑은 고딕" w:hAnsi="맑은 고딕" w:hint="eastAsia"/>
                <w:color w:val="000000"/>
                <w:szCs w:val="20"/>
                <w:shd w:val="clear" w:color="auto" w:fill="FFFFFF"/>
              </w:rPr>
              <w:t xml:space="preserve"> </w:t>
            </w:r>
            <w:r w:rsidR="00670A0F" w:rsidRPr="00670A0F">
              <w:rPr>
                <w:rFonts w:ascii="맑은 고딕" w:eastAsia="맑은 고딕" w:hAnsi="맑은 고딕"/>
                <w:b/>
                <w:bCs/>
                <w:color w:val="000000"/>
                <w:szCs w:val="20"/>
                <w:shd w:val="clear" w:color="auto" w:fill="FFFFFF"/>
              </w:rPr>
              <w:t>국가는 ‘민원 관리자’가 아닌 ‘교육권 보증인’이어야 한다</w:t>
            </w:r>
          </w:p>
          <w:p w14:paraId="42283CEA" w14:textId="11E5483D" w:rsidR="003B2A5B" w:rsidRDefault="00600886">
            <w:pPr>
              <w:spacing w:before="240"/>
              <w:rPr>
                <w:rFonts w:ascii="맑은 고딕" w:eastAsia="맑은 고딕" w:hAnsi="맑은 고딕"/>
                <w:color w:val="000000"/>
                <w:szCs w:val="20"/>
                <w:shd w:val="clear" w:color="auto" w:fill="FFFFFF"/>
              </w:rPr>
            </w:pPr>
            <w:r w:rsidRPr="00600886">
              <w:rPr>
                <w:rFonts w:ascii="맑은 고딕" w:eastAsia="맑은 고딕" w:hAnsi="맑은 고딕"/>
                <w:color w:val="000000"/>
                <w:szCs w:val="20"/>
                <w:shd w:val="clear" w:color="auto" w:fill="FFFFFF"/>
              </w:rPr>
              <w:t xml:space="preserve">여기서 던져야 할 본질적인 질문이 있다. 국가의 역할은 단순히 민원을 배분하는 </w:t>
            </w:r>
            <w:r w:rsidR="00B5661B">
              <w:rPr>
                <w:rFonts w:ascii="맑은 고딕" w:eastAsia="맑은 고딕" w:hAnsi="맑은 고딕"/>
                <w:color w:val="000000"/>
                <w:szCs w:val="20"/>
                <w:shd w:val="clear" w:color="auto" w:fill="FFFFFF"/>
              </w:rPr>
              <w:t>“</w:t>
            </w:r>
            <w:r w:rsidRPr="00600886">
              <w:rPr>
                <w:rFonts w:ascii="맑은 고딕" w:eastAsia="맑은 고딕" w:hAnsi="맑은 고딕"/>
                <w:color w:val="000000"/>
                <w:szCs w:val="20"/>
                <w:shd w:val="clear" w:color="auto" w:fill="FFFFFF"/>
              </w:rPr>
              <w:t>관리자</w:t>
            </w:r>
            <w:r w:rsidR="00B5661B">
              <w:rPr>
                <w:rFonts w:ascii="맑은 고딕" w:eastAsia="맑은 고딕" w:hAnsi="맑은 고딕"/>
                <w:color w:val="000000"/>
                <w:szCs w:val="20"/>
                <w:shd w:val="clear" w:color="auto" w:fill="FFFFFF"/>
              </w:rPr>
              <w:t>”</w:t>
            </w:r>
            <w:r w:rsidRPr="00600886">
              <w:rPr>
                <w:rFonts w:ascii="맑은 고딕" w:eastAsia="맑은 고딕" w:hAnsi="맑은 고딕"/>
                <w:color w:val="000000"/>
                <w:szCs w:val="20"/>
                <w:shd w:val="clear" w:color="auto" w:fill="FFFFFF"/>
              </w:rPr>
              <w:t>에 머물러야 하는가? 국가는 교사의 정당한 교육 활동을 보호하고 뒷받침하는 최후의 보루이자, 교사에게 제기되는 부당한 공격으로부터 교권을 보장하는 책임을 져야 한다</w:t>
            </w:r>
            <w:r w:rsidR="002E645B" w:rsidRPr="002E645B">
              <w:rPr>
                <w:rFonts w:ascii="맑은 고딕" w:eastAsia="맑은 고딕" w:hAnsi="맑은 고딕"/>
                <w:color w:val="000000"/>
                <w:szCs w:val="20"/>
                <w:shd w:val="clear" w:color="auto" w:fill="FFFFFF"/>
              </w:rPr>
              <w:t xml:space="preserve">. 지금의 교사들은 자신의 교육적 선택이 옳았음을 스스로 입증하기 위해 고독한 법적 싸움을 이어간다. 하지만 교육은 결과로만 판단할 수 없는 고도의 전문 영역이다. 국가가 단순히 기구를 하나 더 만드는 것에 생색내지 말고, 교사의 모든 교육적 행위에 대해 </w:t>
            </w:r>
            <w:r w:rsidR="00B5661B">
              <w:rPr>
                <w:rFonts w:ascii="맑은 고딕" w:eastAsia="맑은 고딕" w:hAnsi="맑은 고딕"/>
                <w:color w:val="000000"/>
                <w:szCs w:val="20"/>
                <w:shd w:val="clear" w:color="auto" w:fill="FFFFFF"/>
              </w:rPr>
              <w:t>“</w:t>
            </w:r>
            <w:r w:rsidR="002E645B" w:rsidRPr="002E645B">
              <w:rPr>
                <w:rFonts w:ascii="맑은 고딕" w:eastAsia="맑은 고딕" w:hAnsi="맑은 고딕"/>
                <w:color w:val="000000"/>
                <w:szCs w:val="20"/>
                <w:shd w:val="clear" w:color="auto" w:fill="FFFFFF"/>
              </w:rPr>
              <w:t>공적 면책권</w:t>
            </w:r>
            <w:r w:rsidR="00B5661B">
              <w:rPr>
                <w:rFonts w:ascii="맑은 고딕" w:eastAsia="맑은 고딕" w:hAnsi="맑은 고딕"/>
                <w:color w:val="000000"/>
                <w:szCs w:val="20"/>
                <w:shd w:val="clear" w:color="auto" w:fill="FFFFFF"/>
              </w:rPr>
              <w:t>”</w:t>
            </w:r>
            <w:r w:rsidR="002E645B" w:rsidRPr="002E645B">
              <w:rPr>
                <w:rFonts w:ascii="맑은 고딕" w:eastAsia="맑은 고딕" w:hAnsi="맑은 고딕"/>
                <w:color w:val="000000"/>
                <w:szCs w:val="20"/>
                <w:shd w:val="clear" w:color="auto" w:fill="FFFFFF"/>
              </w:rPr>
              <w:t>을 실질적으로 보장하는 강력한 법적 방어막이 되어야 한다는 것이</w:t>
            </w:r>
            <w:r w:rsidR="00031EEC">
              <w:rPr>
                <w:rFonts w:ascii="맑은 고딕" w:eastAsia="맑은 고딕" w:hAnsi="맑은 고딕" w:hint="eastAsia"/>
                <w:color w:val="000000"/>
                <w:szCs w:val="20"/>
                <w:shd w:val="clear" w:color="auto" w:fill="FFFFFF"/>
              </w:rPr>
              <w:t xml:space="preserve"> 핵심</w:t>
            </w:r>
            <w:r w:rsidR="002E645B" w:rsidRPr="002E645B">
              <w:rPr>
                <w:rFonts w:ascii="맑은 고딕" w:eastAsia="맑은 고딕" w:hAnsi="맑은 고딕"/>
                <w:color w:val="000000"/>
                <w:szCs w:val="20"/>
                <w:shd w:val="clear" w:color="auto" w:fill="FFFFFF"/>
              </w:rPr>
              <w:t xml:space="preserve">이다. 교육 수장들이 드라마를 파시즘이라 비판하기 전에, 왜 </w:t>
            </w:r>
            <w:r w:rsidR="00CC2716">
              <w:rPr>
                <w:rFonts w:ascii="맑은 고딕" w:eastAsia="맑은 고딕" w:hAnsi="맑은 고딕" w:hint="eastAsia"/>
                <w:color w:val="000000"/>
                <w:szCs w:val="20"/>
                <w:shd w:val="clear" w:color="auto" w:fill="FFFFFF"/>
              </w:rPr>
              <w:t>사람</w:t>
            </w:r>
            <w:r w:rsidR="002E645B" w:rsidRPr="002E645B">
              <w:rPr>
                <w:rFonts w:ascii="맑은 고딕" w:eastAsia="맑은 고딕" w:hAnsi="맑은 고딕"/>
                <w:color w:val="000000"/>
                <w:szCs w:val="20"/>
                <w:shd w:val="clear" w:color="auto" w:fill="FFFFFF"/>
              </w:rPr>
              <w:t>들이 국가를 믿지 못하고 주먹에 열광하는지 그 뿌리 깊은 불신부터 직시해야 한다</w:t>
            </w:r>
            <w:r w:rsidR="00136B6B" w:rsidRPr="00136B6B">
              <w:rPr>
                <w:rFonts w:ascii="맑은 고딕" w:eastAsia="맑은 고딕" w:hAnsi="맑은 고딕"/>
                <w:color w:val="000000"/>
                <w:szCs w:val="20"/>
                <w:shd w:val="clear" w:color="auto" w:fill="FFFFFF"/>
              </w:rPr>
              <w:t>.</w:t>
            </w:r>
          </w:p>
          <w:p w14:paraId="74175959" w14:textId="42BF9915" w:rsidR="00AD5905" w:rsidRDefault="00136B6B">
            <w:pPr>
              <w:spacing w:before="240"/>
              <w:rPr>
                <w:rFonts w:ascii="맑은 고딕" w:eastAsia="맑은 고딕" w:hAnsi="맑은 고딕"/>
                <w:color w:val="000000"/>
                <w:szCs w:val="20"/>
                <w:shd w:val="clear" w:color="auto" w:fill="FFFFFF"/>
              </w:rPr>
            </w:pPr>
            <w:r>
              <w:rPr>
                <w:rFonts w:ascii="맑은 고딕" w:eastAsia="맑은 고딕" w:hAnsi="맑은 고딕" w:hint="eastAsia"/>
                <w:color w:val="000000"/>
                <w:szCs w:val="20"/>
                <w:shd w:val="clear" w:color="auto" w:fill="FFFFFF"/>
              </w:rPr>
              <w:t>(5문단)</w:t>
            </w:r>
            <w:r w:rsidR="00670A0F">
              <w:rPr>
                <w:rFonts w:ascii="맑은 고딕" w:eastAsia="맑은 고딕" w:hAnsi="맑은 고딕" w:hint="eastAsia"/>
                <w:color w:val="000000"/>
                <w:szCs w:val="20"/>
                <w:shd w:val="clear" w:color="auto" w:fill="FFFFFF"/>
              </w:rPr>
              <w:t xml:space="preserve"> </w:t>
            </w:r>
            <w:r w:rsidR="00670A0F" w:rsidRPr="00670A0F">
              <w:rPr>
                <w:rFonts w:ascii="맑은 고딕" w:eastAsia="맑은 고딕" w:hAnsi="맑은 고딕"/>
                <w:b/>
                <w:bCs/>
                <w:color w:val="000000"/>
                <w:szCs w:val="20"/>
                <w:shd w:val="clear" w:color="auto" w:fill="FFFFFF"/>
              </w:rPr>
              <w:t>교권과 학생 인권, 대립의 늪을 넘어서</w:t>
            </w:r>
          </w:p>
          <w:p w14:paraId="1D1EB855" w14:textId="1FCCEA7A" w:rsidR="00533C3E" w:rsidRPr="00367FE0" w:rsidRDefault="00533C3E">
            <w:pPr>
              <w:spacing w:before="240"/>
              <w:rPr>
                <w:rFonts w:ascii="맑은 고딕" w:eastAsia="맑은 고딕" w:hAnsi="맑은 고딕"/>
                <w:color w:val="000000"/>
                <w:szCs w:val="20"/>
                <w:shd w:val="clear" w:color="auto" w:fill="FFFFFF"/>
              </w:rPr>
            </w:pPr>
            <w:r w:rsidRPr="00533C3E">
              <w:rPr>
                <w:rFonts w:ascii="맑은 고딕" w:eastAsia="맑은 고딕" w:hAnsi="맑은 고딕"/>
                <w:color w:val="000000"/>
                <w:szCs w:val="20"/>
                <w:shd w:val="clear" w:color="auto" w:fill="FFFFFF"/>
              </w:rPr>
              <w:t>학생인권조례가 교권 추락의 주범이라는 식의 이분법적 논쟁도 이제는 끝내야 한다. 교권과 학생 인권은 서로 대립하는 개념이 아니라, 학교라는 공동체 안에서 함께 보장받아야 할 권리이기 때문이다. 하지만 지금의 저울은 한쪽으로 심하게 기울어져, 교사의 정당한 훈육조차 학대로 치부되는 상황에 이르렀다. 교사의 손발을 묶어놓고 제대로 된 교육이 이루어지길 바라는 것은 어불성설이다. 교권이 바로 서야 학생의 인권도 보호받을 수 있다는 지극히 평범한 상식이 현장에서 다시 힘을 얻어야 한다.</w:t>
            </w:r>
          </w:p>
          <w:p w14:paraId="371589D4" w14:textId="6A3291AD" w:rsidR="00AD5905" w:rsidRDefault="00AD5905">
            <w:pPr>
              <w:spacing w:before="240"/>
              <w:rPr>
                <w:rFonts w:ascii="맑은 고딕" w:eastAsia="맑은 고딕" w:hAnsi="맑은 고딕"/>
                <w:color w:val="000000"/>
                <w:szCs w:val="20"/>
                <w:shd w:val="clear" w:color="auto" w:fill="FFFFFF"/>
              </w:rPr>
            </w:pPr>
            <w:r>
              <w:rPr>
                <w:rFonts w:ascii="맑은 고딕" w:eastAsia="맑은 고딕" w:hAnsi="맑은 고딕" w:hint="eastAsia"/>
                <w:color w:val="000000"/>
                <w:szCs w:val="20"/>
                <w:shd w:val="clear" w:color="auto" w:fill="FFFFFF"/>
              </w:rPr>
              <w:t>(</w:t>
            </w:r>
            <w:r w:rsidR="00136B6B">
              <w:rPr>
                <w:rFonts w:ascii="맑은 고딕" w:eastAsia="맑은 고딕" w:hAnsi="맑은 고딕" w:hint="eastAsia"/>
                <w:color w:val="000000"/>
                <w:szCs w:val="20"/>
                <w:shd w:val="clear" w:color="auto" w:fill="FFFFFF"/>
              </w:rPr>
              <w:t>6</w:t>
            </w:r>
            <w:r>
              <w:rPr>
                <w:rFonts w:ascii="맑은 고딕" w:eastAsia="맑은 고딕" w:hAnsi="맑은 고딕" w:hint="eastAsia"/>
                <w:color w:val="000000"/>
                <w:szCs w:val="20"/>
                <w:shd w:val="clear" w:color="auto" w:fill="FFFFFF"/>
              </w:rPr>
              <w:t>문단</w:t>
            </w:r>
            <w:r>
              <w:rPr>
                <w:rFonts w:ascii="맑은 고딕" w:eastAsia="맑은 고딕" w:hAnsi="맑은 고딕"/>
                <w:color w:val="000000"/>
                <w:szCs w:val="20"/>
                <w:shd w:val="clear" w:color="auto" w:fill="FFFFFF"/>
              </w:rPr>
              <w:t>)</w:t>
            </w:r>
            <w:r w:rsidR="00670A0F">
              <w:rPr>
                <w:rFonts w:ascii="맑은 고딕" w:eastAsia="맑은 고딕" w:hAnsi="맑은 고딕" w:hint="eastAsia"/>
                <w:color w:val="000000"/>
                <w:szCs w:val="20"/>
                <w:shd w:val="clear" w:color="auto" w:fill="FFFFFF"/>
              </w:rPr>
              <w:t xml:space="preserve"> </w:t>
            </w:r>
            <w:r w:rsidR="00670A0F" w:rsidRPr="00670A0F">
              <w:rPr>
                <w:rFonts w:ascii="맑은 고딕" w:eastAsia="맑은 고딕" w:hAnsi="맑은 고딕"/>
                <w:b/>
                <w:bCs/>
                <w:color w:val="000000"/>
                <w:szCs w:val="20"/>
                <w:shd w:val="clear" w:color="auto" w:fill="FFFFFF"/>
              </w:rPr>
              <w:t>교육의 본질을 회복하기 위한 진짜 시스템</w:t>
            </w:r>
          </w:p>
          <w:p w14:paraId="2DB3CF11" w14:textId="539A4A67" w:rsidR="00276EDF" w:rsidRDefault="00372734">
            <w:pPr>
              <w:spacing w:before="240"/>
              <w:rPr>
                <w:rFonts w:ascii="맑은 고딕" w:eastAsia="맑은 고딕" w:hAnsi="맑은 고딕"/>
                <w:color w:val="000000"/>
                <w:szCs w:val="20"/>
                <w:shd w:val="clear" w:color="auto" w:fill="FFFFFF"/>
              </w:rPr>
            </w:pPr>
            <w:r w:rsidRPr="00372734">
              <w:rPr>
                <w:rFonts w:ascii="맑은 고딕" w:eastAsia="맑은 고딕" w:hAnsi="맑은 고딕"/>
                <w:color w:val="000000"/>
                <w:szCs w:val="20"/>
                <w:shd w:val="clear" w:color="auto" w:fill="FFFFFF"/>
              </w:rPr>
              <w:t xml:space="preserve">결국 우리가 진정으로 원하는 것은 폭력적인 감독관이 나타나 모든 것을 해결해주는 판타지가 아니다. 교사가 정직하게 가르치고 학생이 이를 존중하며 배울 수 있는 </w:t>
            </w:r>
            <w:r w:rsidR="008D6B4B">
              <w:rPr>
                <w:rFonts w:ascii="맑은 고딕" w:eastAsia="맑은 고딕" w:hAnsi="맑은 고딕"/>
                <w:color w:val="000000"/>
                <w:szCs w:val="20"/>
                <w:shd w:val="clear" w:color="auto" w:fill="FFFFFF"/>
              </w:rPr>
              <w:t>“</w:t>
            </w:r>
            <w:r w:rsidRPr="00372734">
              <w:rPr>
                <w:rFonts w:ascii="맑은 고딕" w:eastAsia="맑은 고딕" w:hAnsi="맑은 고딕"/>
                <w:color w:val="000000"/>
                <w:szCs w:val="20"/>
                <w:shd w:val="clear" w:color="auto" w:fill="FFFFFF"/>
              </w:rPr>
              <w:t>상식적인 학교</w:t>
            </w:r>
            <w:r w:rsidR="008D6B4B">
              <w:rPr>
                <w:rFonts w:ascii="맑은 고딕" w:eastAsia="맑은 고딕" w:hAnsi="맑은 고딕"/>
                <w:color w:val="000000"/>
                <w:szCs w:val="20"/>
                <w:shd w:val="clear" w:color="auto" w:fill="FFFFFF"/>
              </w:rPr>
              <w:t>”</w:t>
            </w:r>
            <w:r w:rsidR="008D6B4B">
              <w:rPr>
                <w:rFonts w:ascii="맑은 고딕" w:eastAsia="맑은 고딕" w:hAnsi="맑은 고딕" w:hint="eastAsia"/>
                <w:color w:val="000000"/>
                <w:szCs w:val="20"/>
                <w:shd w:val="clear" w:color="auto" w:fill="FFFFFF"/>
              </w:rPr>
              <w:t>다</w:t>
            </w:r>
            <w:r w:rsidRPr="00372734">
              <w:rPr>
                <w:rFonts w:ascii="맑은 고딕" w:eastAsia="맑은 고딕" w:hAnsi="맑은 고딕"/>
                <w:color w:val="000000"/>
                <w:szCs w:val="20"/>
                <w:shd w:val="clear" w:color="auto" w:fill="FFFFFF"/>
              </w:rPr>
              <w:t>. 단순히 새로운 행정 기구 하나를 만드는 것으로 생색낼 단계는 이미 지났다. 정당한 교육 과정에서 발생하는 갈등을 국가가 온전히 책임지고, 악성 민원으로부터 교사를 법적으로 보호하는 실질적인 대책이 필요하다. 현실이 판타지보다 더 지옥 같아서는 안 된다. 교사들이 다시 열정을 가지고 교단에 설 수 있도록, 이제는 국가가 응답해야 할 때다</w:t>
            </w:r>
            <w:r w:rsidR="0070731E" w:rsidRPr="0070731E">
              <w:rPr>
                <w:rFonts w:ascii="맑은 고딕" w:eastAsia="맑은 고딕" w:hAnsi="맑은 고딕"/>
                <w:color w:val="000000"/>
                <w:szCs w:val="20"/>
                <w:shd w:val="clear" w:color="auto" w:fill="FFFFFF"/>
              </w:rPr>
              <w:t>.</w:t>
            </w:r>
          </w:p>
          <w:p w14:paraId="6EFC881C" w14:textId="5F3091E1" w:rsidR="00372734" w:rsidRPr="00841E74" w:rsidRDefault="00372734">
            <w:pPr>
              <w:spacing w:before="240"/>
              <w:rPr>
                <w:rFonts w:ascii="맑은 고딕" w:eastAsia="맑은 고딕" w:hAnsi="맑은 고딕"/>
                <w:color w:val="000000"/>
                <w:szCs w:val="20"/>
                <w:shd w:val="clear" w:color="auto" w:fill="FFFFFF"/>
              </w:rPr>
            </w:pPr>
          </w:p>
        </w:tc>
      </w:tr>
      <w:tr w:rsidR="002D6BD9" w14:paraId="3B76DDD9" w14:textId="77777777" w:rsidTr="00E25DC1">
        <w:trPr>
          <w:trHeight w:val="541"/>
        </w:trPr>
        <w:tc>
          <w:tcPr>
            <w:tcW w:w="1195" w:type="dxa"/>
            <w:vMerge w:val="restart"/>
          </w:tcPr>
          <w:p w14:paraId="06BDB15C" w14:textId="77777777" w:rsidR="002D6BD9" w:rsidRDefault="002D6BD9">
            <w:pPr>
              <w:jc w:val="center"/>
              <w:rPr>
                <w:b/>
                <w:sz w:val="22"/>
              </w:rPr>
            </w:pPr>
            <w:r>
              <w:rPr>
                <w:rFonts w:hint="eastAsia"/>
                <w:b/>
                <w:sz w:val="22"/>
              </w:rPr>
              <w:lastRenderedPageBreak/>
              <w:t>D</w:t>
            </w:r>
            <w:r>
              <w:rPr>
                <w:b/>
                <w:sz w:val="22"/>
              </w:rPr>
              <w:t xml:space="preserve">ata </w:t>
            </w:r>
          </w:p>
          <w:p w14:paraId="3649B871" w14:textId="77777777" w:rsidR="002D6BD9" w:rsidRDefault="002D6BD9">
            <w:pPr>
              <w:jc w:val="center"/>
              <w:rPr>
                <w:b/>
                <w:sz w:val="22"/>
              </w:rPr>
            </w:pPr>
            <w:r>
              <w:rPr>
                <w:b/>
                <w:sz w:val="22"/>
              </w:rPr>
              <w:t>Source</w:t>
            </w:r>
          </w:p>
        </w:tc>
        <w:tc>
          <w:tcPr>
            <w:tcW w:w="7821" w:type="dxa"/>
          </w:tcPr>
          <w:p w14:paraId="32567FF0" w14:textId="02FF2DDC" w:rsidR="002D6BD9" w:rsidRDefault="002D6BD9">
            <w:pPr>
              <w:tabs>
                <w:tab w:val="left" w:pos="1344"/>
              </w:tabs>
              <w:spacing w:after="0" w:line="240" w:lineRule="auto"/>
              <w:rPr>
                <w:color w:val="0000FF"/>
                <w:szCs w:val="20"/>
                <w:u w:val="single"/>
              </w:rPr>
            </w:pPr>
            <w:r>
              <w:rPr>
                <w:rFonts w:hint="eastAsia"/>
                <w:color w:val="0000FF"/>
                <w:szCs w:val="20"/>
                <w:u w:val="single"/>
              </w:rPr>
              <w:t xml:space="preserve">링크형식으로 </w:t>
            </w:r>
            <w:r>
              <w:rPr>
                <w:color w:val="0000FF"/>
                <w:szCs w:val="20"/>
                <w:u w:val="single"/>
              </w:rPr>
              <w:t>4</w:t>
            </w:r>
            <w:r>
              <w:rPr>
                <w:rFonts w:hint="eastAsia"/>
                <w:color w:val="0000FF"/>
                <w:szCs w:val="20"/>
                <w:u w:val="single"/>
              </w:rPr>
              <w:t xml:space="preserve">개 이상 넣기 </w:t>
            </w:r>
            <w:r>
              <w:rPr>
                <w:color w:val="0000FF"/>
                <w:szCs w:val="20"/>
                <w:u w:val="single"/>
              </w:rPr>
              <w:t>(</w:t>
            </w:r>
            <w:r>
              <w:rPr>
                <w:rFonts w:hint="eastAsia"/>
                <w:color w:val="0000FF"/>
                <w:szCs w:val="20"/>
                <w:u w:val="single"/>
              </w:rPr>
              <w:t xml:space="preserve">블로그나 카페글 </w:t>
            </w:r>
            <w:r>
              <w:rPr>
                <w:color w:val="0000FF"/>
                <w:szCs w:val="20"/>
                <w:u w:val="single"/>
              </w:rPr>
              <w:t>X)</w:t>
            </w:r>
          </w:p>
        </w:tc>
      </w:tr>
      <w:tr w:rsidR="002D6BD9" w14:paraId="7B9B5498" w14:textId="77777777" w:rsidTr="00FA5DFA">
        <w:trPr>
          <w:trHeight w:val="657"/>
        </w:trPr>
        <w:tc>
          <w:tcPr>
            <w:tcW w:w="1195" w:type="dxa"/>
            <w:vMerge/>
          </w:tcPr>
          <w:p w14:paraId="5EEAA644" w14:textId="77777777" w:rsidR="002D6BD9" w:rsidRDefault="002D6BD9">
            <w:pPr>
              <w:jc w:val="center"/>
              <w:rPr>
                <w:b/>
                <w:sz w:val="22"/>
              </w:rPr>
            </w:pPr>
          </w:p>
        </w:tc>
        <w:tc>
          <w:tcPr>
            <w:tcW w:w="7821" w:type="dxa"/>
          </w:tcPr>
          <w:p w14:paraId="6AF95E16" w14:textId="6D3645D3" w:rsidR="002D6BD9" w:rsidRPr="009D0077" w:rsidRDefault="002D6BD9">
            <w:pPr>
              <w:tabs>
                <w:tab w:val="left" w:pos="1344"/>
              </w:tabs>
              <w:spacing w:after="0" w:line="240" w:lineRule="auto"/>
            </w:pPr>
          </w:p>
        </w:tc>
      </w:tr>
      <w:tr w:rsidR="002D6BD9" w14:paraId="06C0B04B" w14:textId="77777777" w:rsidTr="00FA5DFA">
        <w:trPr>
          <w:trHeight w:val="657"/>
        </w:trPr>
        <w:tc>
          <w:tcPr>
            <w:tcW w:w="1195" w:type="dxa"/>
            <w:vMerge/>
          </w:tcPr>
          <w:p w14:paraId="7B0228FC" w14:textId="77777777" w:rsidR="002D6BD9" w:rsidRDefault="002D6BD9">
            <w:pPr>
              <w:jc w:val="center"/>
              <w:rPr>
                <w:b/>
                <w:sz w:val="22"/>
              </w:rPr>
            </w:pPr>
          </w:p>
        </w:tc>
        <w:tc>
          <w:tcPr>
            <w:tcW w:w="7821" w:type="dxa"/>
          </w:tcPr>
          <w:p w14:paraId="1CEB3799" w14:textId="44AE4913" w:rsidR="002D6BD9" w:rsidRPr="00CF060C" w:rsidRDefault="002D6BD9">
            <w:pPr>
              <w:tabs>
                <w:tab w:val="left" w:pos="1344"/>
              </w:tabs>
              <w:spacing w:after="0" w:line="240" w:lineRule="auto"/>
              <w:rPr>
                <w:szCs w:val="20"/>
              </w:rPr>
            </w:pPr>
          </w:p>
        </w:tc>
      </w:tr>
      <w:tr w:rsidR="002D6BD9" w14:paraId="2BBEE549" w14:textId="77777777" w:rsidTr="00FA5DFA">
        <w:trPr>
          <w:trHeight w:val="657"/>
        </w:trPr>
        <w:tc>
          <w:tcPr>
            <w:tcW w:w="1195" w:type="dxa"/>
            <w:vMerge/>
          </w:tcPr>
          <w:p w14:paraId="20FC9B93" w14:textId="77777777" w:rsidR="002D6BD9" w:rsidRDefault="002D6BD9">
            <w:pPr>
              <w:jc w:val="center"/>
              <w:rPr>
                <w:b/>
                <w:sz w:val="22"/>
              </w:rPr>
            </w:pPr>
          </w:p>
        </w:tc>
        <w:tc>
          <w:tcPr>
            <w:tcW w:w="7821" w:type="dxa"/>
          </w:tcPr>
          <w:p w14:paraId="15E921B5" w14:textId="0DF98187" w:rsidR="002D6BD9" w:rsidRPr="00407103" w:rsidRDefault="002D6BD9">
            <w:pPr>
              <w:tabs>
                <w:tab w:val="left" w:pos="1344"/>
              </w:tabs>
              <w:spacing w:after="0" w:line="240" w:lineRule="auto"/>
            </w:pPr>
          </w:p>
        </w:tc>
      </w:tr>
      <w:tr w:rsidR="002D6BD9" w14:paraId="1B57D251" w14:textId="77777777" w:rsidTr="00FA5DFA">
        <w:trPr>
          <w:trHeight w:val="657"/>
        </w:trPr>
        <w:tc>
          <w:tcPr>
            <w:tcW w:w="1195" w:type="dxa"/>
            <w:vMerge/>
          </w:tcPr>
          <w:p w14:paraId="6AC42BF6" w14:textId="77777777" w:rsidR="002D6BD9" w:rsidRDefault="002D6BD9">
            <w:pPr>
              <w:jc w:val="center"/>
              <w:rPr>
                <w:b/>
                <w:sz w:val="22"/>
              </w:rPr>
            </w:pPr>
          </w:p>
        </w:tc>
        <w:tc>
          <w:tcPr>
            <w:tcW w:w="7821" w:type="dxa"/>
          </w:tcPr>
          <w:p w14:paraId="02D75EAD" w14:textId="37EAC5AD" w:rsidR="002D6BD9" w:rsidRPr="007979AF" w:rsidRDefault="002D6BD9">
            <w:pPr>
              <w:tabs>
                <w:tab w:val="left" w:pos="1344"/>
              </w:tabs>
              <w:spacing w:after="0" w:line="240" w:lineRule="auto"/>
            </w:pPr>
          </w:p>
        </w:tc>
      </w:tr>
      <w:tr w:rsidR="002D6BD9" w14:paraId="6E63F024" w14:textId="77777777" w:rsidTr="00FA5DFA">
        <w:trPr>
          <w:trHeight w:val="657"/>
        </w:trPr>
        <w:tc>
          <w:tcPr>
            <w:tcW w:w="1195" w:type="dxa"/>
            <w:vMerge/>
          </w:tcPr>
          <w:p w14:paraId="7D93C0A2" w14:textId="77777777" w:rsidR="002D6BD9" w:rsidRDefault="002D6BD9">
            <w:pPr>
              <w:jc w:val="center"/>
              <w:rPr>
                <w:b/>
                <w:sz w:val="22"/>
              </w:rPr>
            </w:pPr>
          </w:p>
        </w:tc>
        <w:tc>
          <w:tcPr>
            <w:tcW w:w="7821" w:type="dxa"/>
          </w:tcPr>
          <w:p w14:paraId="28520A5A" w14:textId="2921BA6C" w:rsidR="002D6BD9" w:rsidRDefault="002D6BD9">
            <w:pPr>
              <w:tabs>
                <w:tab w:val="left" w:pos="1344"/>
              </w:tabs>
              <w:spacing w:after="0" w:line="240" w:lineRule="auto"/>
            </w:pPr>
          </w:p>
        </w:tc>
      </w:tr>
    </w:tbl>
    <w:p w14:paraId="7280375F" w14:textId="77777777" w:rsidR="002E2903" w:rsidRDefault="002E2903" w:rsidP="00AD5905"/>
    <w:sectPr w:rsidR="002E2903">
      <w:pgSz w:w="11906" w:h="16838"/>
      <w:pgMar w:top="1701" w:right="1440" w:bottom="1440" w:left="1440"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C731F" w14:textId="77777777" w:rsidR="000A5A74" w:rsidRDefault="000A5A74">
      <w:pPr>
        <w:spacing w:after="0" w:line="240" w:lineRule="auto"/>
      </w:pPr>
      <w:r>
        <w:separator/>
      </w:r>
    </w:p>
  </w:endnote>
  <w:endnote w:type="continuationSeparator" w:id="0">
    <w:p w14:paraId="09D96764" w14:textId="77777777" w:rsidR="000A5A74" w:rsidRDefault="000A5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09FFC" w14:textId="77777777" w:rsidR="000A5A74" w:rsidRDefault="000A5A74">
      <w:pPr>
        <w:spacing w:after="0" w:line="240" w:lineRule="auto"/>
      </w:pPr>
      <w:r>
        <w:separator/>
      </w:r>
    </w:p>
  </w:footnote>
  <w:footnote w:type="continuationSeparator" w:id="0">
    <w:p w14:paraId="732D1EF8" w14:textId="77777777" w:rsidR="000A5A74" w:rsidRDefault="000A5A7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bordersDoNotSurroundHeader/>
  <w:bordersDoNotSurroundFooter/>
  <w:hideGrammaticalErrors/>
  <w:proofState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80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903"/>
    <w:rsid w:val="00015F1D"/>
    <w:rsid w:val="00023AA8"/>
    <w:rsid w:val="00031EEC"/>
    <w:rsid w:val="00033C36"/>
    <w:rsid w:val="000353F9"/>
    <w:rsid w:val="000463AA"/>
    <w:rsid w:val="000553CD"/>
    <w:rsid w:val="00060087"/>
    <w:rsid w:val="00073D04"/>
    <w:rsid w:val="00074F26"/>
    <w:rsid w:val="000A100A"/>
    <w:rsid w:val="000A52E7"/>
    <w:rsid w:val="000A5A74"/>
    <w:rsid w:val="000B13C3"/>
    <w:rsid w:val="000C3402"/>
    <w:rsid w:val="000C4302"/>
    <w:rsid w:val="000C5BDA"/>
    <w:rsid w:val="00136968"/>
    <w:rsid w:val="00136AC3"/>
    <w:rsid w:val="00136B6B"/>
    <w:rsid w:val="00144635"/>
    <w:rsid w:val="0016084D"/>
    <w:rsid w:val="00160E58"/>
    <w:rsid w:val="00197341"/>
    <w:rsid w:val="001A6A04"/>
    <w:rsid w:val="001E1F55"/>
    <w:rsid w:val="0025432F"/>
    <w:rsid w:val="00276EDF"/>
    <w:rsid w:val="002860C3"/>
    <w:rsid w:val="002B02DB"/>
    <w:rsid w:val="002D6BD9"/>
    <w:rsid w:val="002E0982"/>
    <w:rsid w:val="002E1D23"/>
    <w:rsid w:val="002E2903"/>
    <w:rsid w:val="002E38DF"/>
    <w:rsid w:val="002E645B"/>
    <w:rsid w:val="002F43A5"/>
    <w:rsid w:val="00300F88"/>
    <w:rsid w:val="00306968"/>
    <w:rsid w:val="00340192"/>
    <w:rsid w:val="003415DF"/>
    <w:rsid w:val="0035591C"/>
    <w:rsid w:val="0036384E"/>
    <w:rsid w:val="00364358"/>
    <w:rsid w:val="00367D73"/>
    <w:rsid w:val="00367FE0"/>
    <w:rsid w:val="00372734"/>
    <w:rsid w:val="00376C37"/>
    <w:rsid w:val="00381E2C"/>
    <w:rsid w:val="00385C5D"/>
    <w:rsid w:val="003A58A6"/>
    <w:rsid w:val="003B1A19"/>
    <w:rsid w:val="003B2A5B"/>
    <w:rsid w:val="00407103"/>
    <w:rsid w:val="00427671"/>
    <w:rsid w:val="0045736C"/>
    <w:rsid w:val="004736DC"/>
    <w:rsid w:val="0049109F"/>
    <w:rsid w:val="004A59D5"/>
    <w:rsid w:val="004B506A"/>
    <w:rsid w:val="004D2167"/>
    <w:rsid w:val="004F0E44"/>
    <w:rsid w:val="00511445"/>
    <w:rsid w:val="00511454"/>
    <w:rsid w:val="00533C3E"/>
    <w:rsid w:val="005529BF"/>
    <w:rsid w:val="00567F52"/>
    <w:rsid w:val="00581E1D"/>
    <w:rsid w:val="00585072"/>
    <w:rsid w:val="00587A1E"/>
    <w:rsid w:val="00595491"/>
    <w:rsid w:val="005C1F03"/>
    <w:rsid w:val="005C78AF"/>
    <w:rsid w:val="005D0E76"/>
    <w:rsid w:val="005E52EC"/>
    <w:rsid w:val="00600886"/>
    <w:rsid w:val="00615A6F"/>
    <w:rsid w:val="00640CFC"/>
    <w:rsid w:val="0064797C"/>
    <w:rsid w:val="00654678"/>
    <w:rsid w:val="00670A0F"/>
    <w:rsid w:val="00677DCB"/>
    <w:rsid w:val="00680674"/>
    <w:rsid w:val="00684348"/>
    <w:rsid w:val="006A124F"/>
    <w:rsid w:val="006A56A3"/>
    <w:rsid w:val="006B2D79"/>
    <w:rsid w:val="006C0A9B"/>
    <w:rsid w:val="006C2C24"/>
    <w:rsid w:val="006D3E41"/>
    <w:rsid w:val="0070731E"/>
    <w:rsid w:val="00712A63"/>
    <w:rsid w:val="00720E1E"/>
    <w:rsid w:val="00722831"/>
    <w:rsid w:val="00724F8D"/>
    <w:rsid w:val="00733C2F"/>
    <w:rsid w:val="007427E8"/>
    <w:rsid w:val="00746236"/>
    <w:rsid w:val="0076306B"/>
    <w:rsid w:val="00773DC9"/>
    <w:rsid w:val="007863CD"/>
    <w:rsid w:val="00796EC5"/>
    <w:rsid w:val="007979AF"/>
    <w:rsid w:val="007D584A"/>
    <w:rsid w:val="00806D36"/>
    <w:rsid w:val="00826E27"/>
    <w:rsid w:val="00841E74"/>
    <w:rsid w:val="008522AA"/>
    <w:rsid w:val="00864F85"/>
    <w:rsid w:val="00885CCD"/>
    <w:rsid w:val="008922BE"/>
    <w:rsid w:val="008944E0"/>
    <w:rsid w:val="008B672B"/>
    <w:rsid w:val="008D439D"/>
    <w:rsid w:val="008D6B4B"/>
    <w:rsid w:val="008E7C89"/>
    <w:rsid w:val="008F176B"/>
    <w:rsid w:val="0091712C"/>
    <w:rsid w:val="00924291"/>
    <w:rsid w:val="009334AC"/>
    <w:rsid w:val="00941883"/>
    <w:rsid w:val="009449E9"/>
    <w:rsid w:val="00952334"/>
    <w:rsid w:val="00954448"/>
    <w:rsid w:val="00960BE8"/>
    <w:rsid w:val="00967E7C"/>
    <w:rsid w:val="00973F23"/>
    <w:rsid w:val="00990E94"/>
    <w:rsid w:val="00995383"/>
    <w:rsid w:val="009A448E"/>
    <w:rsid w:val="009A5ADE"/>
    <w:rsid w:val="009C0D64"/>
    <w:rsid w:val="009C322D"/>
    <w:rsid w:val="009D0077"/>
    <w:rsid w:val="009E5D08"/>
    <w:rsid w:val="009F3F81"/>
    <w:rsid w:val="00A04FF6"/>
    <w:rsid w:val="00A31449"/>
    <w:rsid w:val="00A43EB3"/>
    <w:rsid w:val="00A52D74"/>
    <w:rsid w:val="00A548D2"/>
    <w:rsid w:val="00A815C6"/>
    <w:rsid w:val="00A831BE"/>
    <w:rsid w:val="00A83463"/>
    <w:rsid w:val="00A90722"/>
    <w:rsid w:val="00AD431C"/>
    <w:rsid w:val="00AD4DBF"/>
    <w:rsid w:val="00AD5905"/>
    <w:rsid w:val="00AF3574"/>
    <w:rsid w:val="00B04CDE"/>
    <w:rsid w:val="00B12075"/>
    <w:rsid w:val="00B1379D"/>
    <w:rsid w:val="00B17B4F"/>
    <w:rsid w:val="00B33690"/>
    <w:rsid w:val="00B5661B"/>
    <w:rsid w:val="00B6377F"/>
    <w:rsid w:val="00B71874"/>
    <w:rsid w:val="00B77E1A"/>
    <w:rsid w:val="00BA4954"/>
    <w:rsid w:val="00BC254B"/>
    <w:rsid w:val="00BC3028"/>
    <w:rsid w:val="00C01EF2"/>
    <w:rsid w:val="00C1621F"/>
    <w:rsid w:val="00C1783D"/>
    <w:rsid w:val="00C22D7B"/>
    <w:rsid w:val="00C35113"/>
    <w:rsid w:val="00C633FC"/>
    <w:rsid w:val="00C6728E"/>
    <w:rsid w:val="00C9674E"/>
    <w:rsid w:val="00CC2716"/>
    <w:rsid w:val="00CF060C"/>
    <w:rsid w:val="00CF344C"/>
    <w:rsid w:val="00D0194E"/>
    <w:rsid w:val="00D26111"/>
    <w:rsid w:val="00D52BAD"/>
    <w:rsid w:val="00D75E14"/>
    <w:rsid w:val="00D767F0"/>
    <w:rsid w:val="00D96874"/>
    <w:rsid w:val="00DA6CBA"/>
    <w:rsid w:val="00DB4E32"/>
    <w:rsid w:val="00DD5F30"/>
    <w:rsid w:val="00DE27D1"/>
    <w:rsid w:val="00E36EF8"/>
    <w:rsid w:val="00E40264"/>
    <w:rsid w:val="00E43620"/>
    <w:rsid w:val="00E47C56"/>
    <w:rsid w:val="00E50CF4"/>
    <w:rsid w:val="00E62EC3"/>
    <w:rsid w:val="00E658AD"/>
    <w:rsid w:val="00E66D1B"/>
    <w:rsid w:val="00E95B29"/>
    <w:rsid w:val="00EA1FB9"/>
    <w:rsid w:val="00EE2AA0"/>
    <w:rsid w:val="00EE540B"/>
    <w:rsid w:val="00EF0EE8"/>
    <w:rsid w:val="00F10A48"/>
    <w:rsid w:val="00F32A43"/>
    <w:rsid w:val="00FA0490"/>
    <w:rsid w:val="00FA5DFA"/>
    <w:rsid w:val="00FA6C0C"/>
    <w:rsid w:val="00FC681B"/>
    <w:rsid w:val="00FD33D4"/>
    <w:rsid w:val="00FD3B4D"/>
    <w:rsid w:val="00FE5496"/>
    <w:rsid w:val="00FE588B"/>
    <w:rsid w:val="00FF5D73"/>
    <w:rsid w:val="00FF6C63"/>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5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Theme" w:semiHidden="1" w:uiPriority="99" w:unhideWhenUsed="1"/>
    <w:lsdException w:name="Placeholder Text" w:semiHidden="1" w:uiPriority="99"/>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pPr>
      <w:tabs>
        <w:tab w:val="center" w:pos="4513"/>
        <w:tab w:val="right" w:pos="9026"/>
      </w:tabs>
      <w:snapToGrid w:val="0"/>
    </w:pPr>
  </w:style>
  <w:style w:type="character" w:customStyle="1" w:styleId="Char">
    <w:name w:val="머리글 Char"/>
    <w:basedOn w:val="a0"/>
    <w:link w:val="a4"/>
    <w:uiPriority w:val="99"/>
  </w:style>
  <w:style w:type="paragraph" w:styleId="a5">
    <w:name w:val="footer"/>
    <w:basedOn w:val="a"/>
    <w:link w:val="Char0"/>
    <w:uiPriority w:val="99"/>
    <w:unhideWhenUsed/>
    <w:pPr>
      <w:tabs>
        <w:tab w:val="center" w:pos="4513"/>
        <w:tab w:val="right" w:pos="9026"/>
      </w:tabs>
      <w:snapToGrid w:val="0"/>
    </w:pPr>
  </w:style>
  <w:style w:type="character" w:customStyle="1" w:styleId="Char0">
    <w:name w:val="바닥글 Char"/>
    <w:basedOn w:val="a0"/>
    <w:link w:val="a5"/>
    <w:uiPriority w:val="99"/>
  </w:style>
  <w:style w:type="character" w:styleId="a6">
    <w:name w:val="Hyperlink"/>
    <w:basedOn w:val="a0"/>
    <w:uiPriority w:val="99"/>
    <w:unhideWhenUsed/>
    <w:rPr>
      <w:color w:val="0000FF"/>
      <w:u w:val="single"/>
    </w:rPr>
  </w:style>
  <w:style w:type="table" w:styleId="a7">
    <w:name w:val="Table Theme"/>
    <w:basedOn w:val="a1"/>
    <w:uiPriority w:val="99"/>
    <w:pPr>
      <w:widowControl w:val="0"/>
      <w:wordWrap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pPr>
      <w:ind w:leftChars="400" w:left="800"/>
    </w:pPr>
  </w:style>
  <w:style w:type="character" w:customStyle="1" w:styleId="seffsans-serif">
    <w:name w:val="se_ff_sans-serif"/>
    <w:basedOn w:val="a0"/>
  </w:style>
  <w:style w:type="character" w:styleId="a9">
    <w:name w:val="FollowedHyperlink"/>
    <w:basedOn w:val="a0"/>
    <w:uiPriority w:val="99"/>
    <w:semiHidden/>
    <w:unhideWhenUsed/>
    <w:rPr>
      <w:color w:val="954F72"/>
      <w:u w:val="single"/>
    </w:rPr>
  </w:style>
  <w:style w:type="character" w:customStyle="1" w:styleId="1">
    <w:name w:val="확인되지 않은 멘션1"/>
    <w:basedOn w:val="a0"/>
    <w:uiPriority w:val="99"/>
    <w:semiHidden/>
    <w:unhideWhenUsed/>
    <w:rPr>
      <w:color w:val="605E5C"/>
      <w:shd w:val="clear" w:color="auto" w:fill="E1DFDD"/>
    </w:rPr>
  </w:style>
  <w:style w:type="character" w:styleId="aa">
    <w:name w:val="Unresolved Mention"/>
    <w:basedOn w:val="a0"/>
    <w:uiPriority w:val="99"/>
    <w:semiHidden/>
    <w:unhideWhenUsed/>
    <w:rsid w:val="007863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a:tileRect/>
        </a:gradFill>
        <a:gradFill flip="none" rotWithShape="1">
          <a:gsLst>
            <a:gs pos="0">
              <a:schemeClr val="phClr">
                <a:shade val="51000"/>
                <a:satMod val="129999"/>
              </a:schemeClr>
            </a:gs>
            <a:gs pos="80000">
              <a:schemeClr val="phClr">
                <a:shade val="93000"/>
                <a:satMod val="129999"/>
              </a:schemeClr>
            </a:gs>
            <a:gs pos="100000">
              <a:schemeClr val="phClr">
                <a:shade val="94000"/>
                <a:satMod val="135000"/>
              </a:schemeClr>
            </a:gs>
          </a:gsLst>
          <a:lin ang="16200000" scaled="0"/>
          <a:tileRect/>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a:tileRect/>
        </a:gradFill>
        <a:gradFill flip="none" rotWithShape="1">
          <a:gsLst>
            <a:gs pos="0">
              <a:schemeClr val="phClr">
                <a:shade val="51000"/>
                <a:satMod val="129999"/>
              </a:schemeClr>
            </a:gs>
            <a:gs pos="80000">
              <a:schemeClr val="phClr">
                <a:shade val="93000"/>
                <a:satMod val="129999"/>
              </a:schemeClr>
            </a:gs>
            <a:gs pos="100000">
              <a:schemeClr val="phClr">
                <a:shade val="94000"/>
                <a:satMod val="135000"/>
              </a:schemeClr>
            </a:gs>
          </a:gsLst>
          <a:lin ang="162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53573-40A9-4CC8-84C3-3B76DB64F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347</Words>
  <Characters>1982</Characters>
  <Application>Microsoft Office Word</Application>
  <DocSecurity>0</DocSecurity>
  <Lines>16</Lines>
  <Paragraphs>4</Paragraphs>
  <ScaleCrop>false</ScaleCrop>
  <HeadingPairs>
    <vt:vector size="2" baseType="variant">
      <vt:variant>
        <vt:lpstr>제목</vt:lpstr>
      </vt:variant>
      <vt:variant>
        <vt:i4>1</vt:i4>
      </vt:variant>
    </vt:vector>
  </HeadingPairs>
  <TitlesOfParts>
    <vt:vector size="1" baseType="lpstr">
      <vt:lpstr/>
    </vt:vector>
  </TitlesOfParts>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2025-08-15T14:20:00Z</dcterms:created>
  <dcterms:modified xsi:type="dcterms:W3CDTF">2026-06-19T14:25:00Z</dcterms:modified>
  <cp:version>1100.0100.01</cp:version>
</cp:coreProperties>
</file>