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9015" w:type="dxa"/>
        <w:tblInd w:w="102" w:type="dxa"/>
        <w:tblBorders>
          <w:top w:val="single" w:sz="4" w:space="0" w:color="0A0000"/>
          <w:left w:val="single" w:sz="4" w:space="0" w:color="0A0000"/>
          <w:bottom w:val="single" w:sz="4" w:space="0" w:color="0A0000"/>
          <w:right w:val="single" w:sz="4" w:space="0" w:color="0A0000"/>
        </w:tblBorders>
        <w:shd w:val="clear" w:color="auto" w:fill="FFFFFF"/>
        <w:tblLayout w:type="fixed"/>
        <w:tblCellMar>
          <w:top w:w="28" w:type="dxa"/>
          <w:left w:w="102" w:type="dxa"/>
          <w:bottom w:w="28" w:type="dxa"/>
          <w:right w:w="102" w:type="dxa"/>
        </w:tblCellMar>
        <w:tblLook w:val="04A0" w:firstRow="1" w:lastRow="0" w:firstColumn="1" w:lastColumn="0" w:noHBand="0" w:noVBand="1"/>
      </w:tblPr>
      <w:tblGrid>
        <w:gridCol w:w="1195"/>
        <w:gridCol w:w="7820"/>
      </w:tblGrid>
      <w:tr w:rsidR="00E56569" w:rsidRPr="00D743DC" w14:paraId="7253B3BD" w14:textId="77777777" w:rsidTr="00B63A09">
        <w:trPr>
          <w:trHeight w:val="987"/>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3229A887" w14:textId="77777777" w:rsidR="00E56569" w:rsidRPr="00D743DC" w:rsidRDefault="00E56569" w:rsidP="00B63A09">
            <w:r w:rsidRPr="00D743DC">
              <w:rPr>
                <w:rFonts w:hint="eastAsia"/>
                <w:b/>
              </w:rPr>
              <w:t>Issue/</w:t>
            </w:r>
          </w:p>
          <w:p w14:paraId="03331BE9" w14:textId="77777777" w:rsidR="00E56569" w:rsidRPr="00D743DC" w:rsidRDefault="00E56569" w:rsidP="00B63A09">
            <w:r w:rsidRPr="00D743DC">
              <w:rPr>
                <w:rFonts w:hint="eastAsia"/>
                <w:b/>
              </w:rPr>
              <w:t>Date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5AC27D74" w14:textId="51230C8C" w:rsidR="00E56569" w:rsidRPr="00D743DC" w:rsidRDefault="00E56569" w:rsidP="00B63A09">
            <w:r>
              <w:rPr>
                <w:rFonts w:hint="eastAsia"/>
              </w:rPr>
              <w:t>25</w:t>
            </w:r>
            <w:r w:rsidR="005517AF">
              <w:rPr>
                <w:rFonts w:hint="eastAsia"/>
              </w:rPr>
              <w:t>4</w:t>
            </w:r>
            <w:r>
              <w:t>호</w:t>
            </w:r>
            <w:r>
              <w:rPr>
                <w:rFonts w:hint="eastAsia"/>
              </w:rPr>
              <w:t xml:space="preserve"> / </w:t>
            </w:r>
            <w:r w:rsidR="00A64640">
              <w:rPr>
                <w:rFonts w:hint="eastAsia"/>
              </w:rPr>
              <w:t xml:space="preserve">September </w:t>
            </w:r>
            <w:r w:rsidRPr="00D743DC">
              <w:rPr>
                <w:rFonts w:hint="eastAsia"/>
              </w:rPr>
              <w:t>2026</w:t>
            </w:r>
          </w:p>
        </w:tc>
      </w:tr>
      <w:tr w:rsidR="00E56569" w:rsidRPr="00D743DC" w14:paraId="71C5009F" w14:textId="77777777" w:rsidTr="00B63A09">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10236062" w14:textId="77777777" w:rsidR="00E56569" w:rsidRPr="00D743DC" w:rsidRDefault="00E56569" w:rsidP="00B63A09">
            <w:r w:rsidRPr="00D743DC">
              <w:rPr>
                <w:rFonts w:hint="eastAsia"/>
                <w:b/>
              </w:rPr>
              <w:t>Reporter</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383559DB" w14:textId="23F0D50A" w:rsidR="00E56569" w:rsidRPr="00D743DC" w:rsidRDefault="00E56569" w:rsidP="00B63A09">
            <w:r w:rsidRPr="00D743DC">
              <w:rPr>
                <w:rFonts w:hint="eastAsia"/>
              </w:rPr>
              <w:t xml:space="preserve">63기 국제부 </w:t>
            </w:r>
            <w:r w:rsidR="001C1DDE">
              <w:rPr>
                <w:rFonts w:hint="eastAsia"/>
              </w:rPr>
              <w:t>정</w:t>
            </w:r>
            <w:r w:rsidRPr="00D743DC">
              <w:rPr>
                <w:rFonts w:hint="eastAsia"/>
              </w:rPr>
              <w:t>기자 제형민</w:t>
            </w:r>
          </w:p>
        </w:tc>
      </w:tr>
      <w:tr w:rsidR="00E56569" w:rsidRPr="00D743DC" w14:paraId="1D4FBE13" w14:textId="77777777" w:rsidTr="00B63A09">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2DB5BA57" w14:textId="77777777" w:rsidR="00E56569" w:rsidRPr="00D743DC" w:rsidRDefault="00E56569" w:rsidP="00B63A09">
            <w:r w:rsidRPr="00D743DC">
              <w:rPr>
                <w:rFonts w:hint="eastAsia"/>
                <w:b/>
              </w:rPr>
              <w:t>Section</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2FBA68B5" w14:textId="77777777" w:rsidR="00E56569" w:rsidRPr="00D743DC" w:rsidRDefault="00E56569" w:rsidP="00B63A09">
            <w:r>
              <w:rPr>
                <w:rFonts w:hint="eastAsia"/>
              </w:rPr>
              <w:t>Opinion</w:t>
            </w:r>
          </w:p>
        </w:tc>
      </w:tr>
      <w:tr w:rsidR="00E56569" w:rsidRPr="00D743DC" w14:paraId="4D400A0A" w14:textId="77777777" w:rsidTr="00B63A09">
        <w:trPr>
          <w:trHeight w:val="554"/>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173B9BF9" w14:textId="77777777" w:rsidR="00E56569" w:rsidRPr="00D743DC" w:rsidRDefault="00E56569" w:rsidP="00B63A09">
            <w:r w:rsidRPr="00D743DC">
              <w:rPr>
                <w:rFonts w:hint="eastAsia"/>
                <w:b/>
              </w:rPr>
              <w:t>Title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64DB545B" w14:textId="07F60A6A" w:rsidR="00E56569" w:rsidRPr="00D743DC" w:rsidRDefault="00E56569" w:rsidP="00B63A09">
            <w:r>
              <w:rPr>
                <w:rFonts w:hint="eastAsia"/>
              </w:rPr>
              <w:t>침묵 속의 죽음</w:t>
            </w:r>
            <w:r w:rsidR="00A64640">
              <w:rPr>
                <w:rFonts w:hint="eastAsia"/>
              </w:rPr>
              <w:t>,</w:t>
            </w:r>
            <w:r>
              <w:rPr>
                <w:rFonts w:hint="eastAsia"/>
              </w:rPr>
              <w:t xml:space="preserve"> 대한민국 고독사의 어두운 진실</w:t>
            </w:r>
          </w:p>
        </w:tc>
      </w:tr>
      <w:tr w:rsidR="00E56569" w:rsidRPr="00D743DC" w14:paraId="711128D4" w14:textId="77777777" w:rsidTr="00B63A09">
        <w:trPr>
          <w:trHeight w:val="523"/>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2CCDF973" w14:textId="77777777" w:rsidR="00E56569" w:rsidRPr="00D743DC" w:rsidRDefault="00E56569" w:rsidP="00B63A09">
            <w:r w:rsidRPr="00D743DC">
              <w:rPr>
                <w:rFonts w:hint="eastAsia"/>
                <w:b/>
              </w:rPr>
              <w:t>Purpose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74E7861E" w14:textId="06B6A44E" w:rsidR="00E56569" w:rsidRPr="00D743DC" w:rsidRDefault="00FB2FF3" w:rsidP="00B63A09">
            <w:r w:rsidRPr="00FB2FF3">
              <w:t xml:space="preserve">한국 사회에서 고독사는 더 이상 개인의 불운이 아니다. 급격한 1인 가구 증가와 제도적 무관심이 맞물리며 고독사는 예고된 사회적 재난으로 진화하고 있다. 본 기사는 고독사의 현황과 구조적 원인을 짚고, 사후 수습에 머무는 현행 대응 체계의 한계를 비판하며, </w:t>
            </w:r>
            <w:r>
              <w:rPr>
                <w:rFonts w:hint="eastAsia"/>
              </w:rPr>
              <w:t xml:space="preserve">정부의 </w:t>
            </w:r>
            <w:r w:rsidRPr="00FB2FF3">
              <w:t>사회적 안전망 구축이 왜 지금 시급한지를 주장한다.</w:t>
            </w:r>
          </w:p>
        </w:tc>
      </w:tr>
      <w:tr w:rsidR="00E56569" w:rsidRPr="00D743DC" w14:paraId="680B10DA" w14:textId="77777777" w:rsidTr="00B63A09">
        <w:trPr>
          <w:trHeight w:val="6410"/>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3A5837A4" w14:textId="77777777" w:rsidR="00E56569" w:rsidRPr="00D743DC" w:rsidRDefault="00E56569" w:rsidP="00B63A09">
            <w:r w:rsidRPr="00D743DC">
              <w:rPr>
                <w:rFonts w:hint="eastAsia"/>
                <w:b/>
              </w:rPr>
              <w:t>Outline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655B5456" w14:textId="4D876966" w:rsidR="00E56569" w:rsidRDefault="00E56569" w:rsidP="00B63A09">
            <w:r>
              <w:rPr>
                <w:rFonts w:hint="eastAsia"/>
              </w:rPr>
              <w:t>(1문단</w:t>
            </w:r>
            <w:r w:rsidR="00FB2FF3">
              <w:rPr>
                <w:rFonts w:hint="eastAsia"/>
              </w:rPr>
              <w:t>: 서론</w:t>
            </w:r>
            <w:r>
              <w:rPr>
                <w:rFonts w:hint="eastAsia"/>
              </w:rPr>
              <w:t xml:space="preserve">) </w:t>
            </w:r>
          </w:p>
          <w:p w14:paraId="287A28EC" w14:textId="26E53D82" w:rsidR="00E56569" w:rsidRDefault="00E56569" w:rsidP="00B63A09">
            <w:r w:rsidRPr="00E56569">
              <w:t xml:space="preserve">대한민국 사회에서 고독사는 더 이상 주변적 문제가 아니라 점점 늘어나고 있는 심각한 사회적 현실이다. 그러나 대부분의 죽음은 조용히, 아무도 모르게 발생하기 때문에 ‘침묵 속의 죽음’이라 불리며 사회적 무관심 속에 방치되고 있다. 본 </w:t>
            </w:r>
            <w:r w:rsidR="00FB2FF3">
              <w:rPr>
                <w:rFonts w:hint="eastAsia"/>
              </w:rPr>
              <w:t>기사는</w:t>
            </w:r>
            <w:r w:rsidRPr="00E56569">
              <w:t xml:space="preserve"> 고독사의 실태와 원인을 분석하고, 이를 통해 한국 사회가 직면한 구조적 문제를 공론화하며 해결책을 모색하고자 한다.</w:t>
            </w:r>
          </w:p>
          <w:p w14:paraId="73CEAD2F" w14:textId="115EFA5C" w:rsidR="00E56569" w:rsidRDefault="00E56569" w:rsidP="00B63A09">
            <w:r>
              <w:rPr>
                <w:rFonts w:hint="eastAsia"/>
              </w:rPr>
              <w:t>(2문단</w:t>
            </w:r>
            <w:r w:rsidR="00FB2FF3">
              <w:rPr>
                <w:rFonts w:hint="eastAsia"/>
              </w:rPr>
              <w:t>: 현황과 통계</w:t>
            </w:r>
            <w:r>
              <w:rPr>
                <w:rFonts w:hint="eastAsia"/>
              </w:rPr>
              <w:t>)</w:t>
            </w:r>
          </w:p>
          <w:p w14:paraId="003DEED8" w14:textId="59EEA66F" w:rsidR="00E56569" w:rsidRDefault="00FB2FF3" w:rsidP="00B63A09">
            <w:r w:rsidRPr="00E56569">
              <w:t>보건복지부가 발표한 통계에 따르면, 2023년 기준 전국에서 보고된 고독사 사례는 전년 대비 증가했으며 특히 중장년층과 노년층에서 두드러진다</w:t>
            </w:r>
            <w:r>
              <w:rPr>
                <w:rFonts w:hint="eastAsia"/>
              </w:rPr>
              <w:t>[1]</w:t>
            </w:r>
            <w:r w:rsidRPr="00E56569">
              <w:t xml:space="preserve">. 이러한 수치는 단순히 개인의 삶의 문제를 넘어, 사회적 안전망과 공동체 기능이 약화되고 있다는 구조적 문제를 드러낸다. </w:t>
            </w:r>
            <w:r>
              <w:rPr>
                <w:rFonts w:hint="eastAsia"/>
              </w:rPr>
              <w:t xml:space="preserve">이제 </w:t>
            </w:r>
            <w:r w:rsidRPr="00FB2FF3">
              <w:t xml:space="preserve">고독사는 특정 세대의 문제가 아니라 전 세대에 걸쳐 확산되는 사회 구조적 현상으로 </w:t>
            </w:r>
            <w:r>
              <w:t>자리 잡고</w:t>
            </w:r>
            <w:r w:rsidRPr="00FB2FF3">
              <w:t xml:space="preserve"> 있다.</w:t>
            </w:r>
          </w:p>
          <w:p w14:paraId="0179041D" w14:textId="4E6D38EB" w:rsidR="00E56569" w:rsidRDefault="00E56569" w:rsidP="00B63A09">
            <w:r>
              <w:rPr>
                <w:rFonts w:hint="eastAsia"/>
              </w:rPr>
              <w:t>(3문단</w:t>
            </w:r>
            <w:r w:rsidR="00FB2FF3">
              <w:rPr>
                <w:rFonts w:hint="eastAsia"/>
              </w:rPr>
              <w:t>: 구조적 원인 분석</w:t>
            </w:r>
            <w:r>
              <w:rPr>
                <w:rFonts w:hint="eastAsia"/>
              </w:rPr>
              <w:t>)</w:t>
            </w:r>
          </w:p>
          <w:p w14:paraId="59A5C7DA" w14:textId="7763F233" w:rsidR="00E56569" w:rsidRDefault="00FB2FF3" w:rsidP="00B63A09">
            <w:r w:rsidRPr="00FB2FF3">
              <w:t xml:space="preserve">고독사의 주된 원인은 가족, 친척 등 주변 사람들과 단절된 채 생활하는 '사회적 </w:t>
            </w:r>
            <w:r w:rsidR="00662886">
              <w:t>고립'으로</w:t>
            </w:r>
            <w:r>
              <w:rPr>
                <w:rFonts w:hint="eastAsia"/>
              </w:rPr>
              <w:t xml:space="preserve"> 꼽힌다. </w:t>
            </w:r>
            <w:r w:rsidR="00662886" w:rsidRPr="00662886">
              <w:t xml:space="preserve">실업과 </w:t>
            </w:r>
            <w:r w:rsidR="00662886">
              <w:rPr>
                <w:rFonts w:hint="eastAsia"/>
              </w:rPr>
              <w:t xml:space="preserve">타인과의 </w:t>
            </w:r>
            <w:r w:rsidR="00662886">
              <w:t>관계의</w:t>
            </w:r>
            <w:r w:rsidR="00662886" w:rsidRPr="00662886">
              <w:t xml:space="preserve"> 단절의 악순환 속에서 홀로 남겨진 개인은 위기의 순간에 작동해야 할 최소한의 </w:t>
            </w:r>
            <w:r w:rsidR="00662886">
              <w:rPr>
                <w:rFonts w:hint="eastAsia"/>
              </w:rPr>
              <w:t>구원</w:t>
            </w:r>
            <w:r w:rsidR="00662886" w:rsidRPr="00662886">
              <w:t xml:space="preserve">마저 상실하게 된다. 결국 제도적 지원과 정서적 교류가 모두 차단된 환경은 한 인간을 </w:t>
            </w:r>
            <w:r w:rsidR="00662886">
              <w:rPr>
                <w:rFonts w:hint="eastAsia"/>
              </w:rPr>
              <w:t xml:space="preserve">쓸쓸하고 </w:t>
            </w:r>
            <w:r w:rsidR="00662886" w:rsidRPr="00662886">
              <w:t xml:space="preserve">무력하게 </w:t>
            </w:r>
            <w:r w:rsidR="00662886">
              <w:rPr>
                <w:rFonts w:hint="eastAsia"/>
              </w:rPr>
              <w:t>침묵 속의 죽음으로 내몰게 된다[2].</w:t>
            </w:r>
            <w:r w:rsidR="00662886" w:rsidRPr="00662886">
              <w:t xml:space="preserve"> 따라서 이러한 고립은 결코 사적인 불행이나 개인의 실패가 아니며, 공동체의 연대망 붕</w:t>
            </w:r>
            <w:r w:rsidR="00662886" w:rsidRPr="00662886">
              <w:lastRenderedPageBreak/>
              <w:t xml:space="preserve">괴를 방치한 한국 사회의 명백한 </w:t>
            </w:r>
            <w:r w:rsidR="00662886">
              <w:rPr>
                <w:rFonts w:hint="eastAsia"/>
              </w:rPr>
              <w:t xml:space="preserve">구조적 실패이다. </w:t>
            </w:r>
          </w:p>
          <w:p w14:paraId="7207BB64" w14:textId="3466736A" w:rsidR="00E56569" w:rsidRDefault="00E56569" w:rsidP="00B63A09">
            <w:r>
              <w:rPr>
                <w:rFonts w:hint="eastAsia"/>
              </w:rPr>
              <w:t>(4문단</w:t>
            </w:r>
            <w:r w:rsidR="00662886">
              <w:rPr>
                <w:rFonts w:hint="eastAsia"/>
              </w:rPr>
              <w:t>: 사회의 싸늘한 시선과 제도 미비</w:t>
            </w:r>
            <w:r>
              <w:rPr>
                <w:rFonts w:hint="eastAsia"/>
              </w:rPr>
              <w:t>)</w:t>
            </w:r>
          </w:p>
          <w:p w14:paraId="44896D3F" w14:textId="5AED02DF" w:rsidR="00E56569" w:rsidRPr="00662886" w:rsidRDefault="00662886" w:rsidP="00B63A09">
            <w:r w:rsidRPr="00662886">
              <w:t>우리 사회는 고독사를 구조적 모순으로 바라보기보다 단순히 ‘개인의 실패’나 ‘비참한 삶’의 표지로 치부하는 냉소적 시선에 머물러 있다. 이러한 싸늘한 해석은 고립된 이들에게 죽음 자체의 두려움보다, 뒤늦게 발견될 자신의 시신과 존엄했던 삶이 추하게 낙인찍힐 것이라는 극심한 수치심을 안겨준다. 더 큰 문제는 국가의 공공복지 책임이</w:t>
            </w:r>
            <w:r w:rsidR="002A769E">
              <w:rPr>
                <w:rFonts w:hint="eastAsia"/>
              </w:rPr>
              <w:t xml:space="preserve">다. </w:t>
            </w:r>
            <w:r w:rsidRPr="00662886">
              <w:t>죽음 이전의 돌봄부터 죽음 이후의 행정과 애도까지 공공의 손길이 닿지 않는 복지 제도의 미비는 결국 고독사를 전 세대적 위기로 확산시키는 결정적 원인이 된다. 따라서 고독사의 현장에서 발생하는 비참함과 수치심은 죽은 자의 것이 아니라, 사회적 고립을 방치하고 최소한의 인간 존엄성을 지켜주지 못한 우리 사회와 국가가 마땅히 짊어져야 할 몫이다</w:t>
            </w:r>
            <w:r>
              <w:rPr>
                <w:rFonts w:hint="eastAsia"/>
              </w:rPr>
              <w:t>[3]</w:t>
            </w:r>
            <w:r w:rsidRPr="00662886">
              <w:t>.</w:t>
            </w:r>
          </w:p>
          <w:p w14:paraId="52D85C9C" w14:textId="7C01B94E" w:rsidR="00E56569" w:rsidRDefault="00E56569" w:rsidP="00B63A09">
            <w:r>
              <w:rPr>
                <w:rFonts w:hint="eastAsia"/>
              </w:rPr>
              <w:t>(5문단</w:t>
            </w:r>
            <w:r w:rsidR="00C22594">
              <w:rPr>
                <w:rFonts w:hint="eastAsia"/>
              </w:rPr>
              <w:t>: 글로벌 선진 사례와의 비교</w:t>
            </w:r>
            <w:r>
              <w:rPr>
                <w:rFonts w:hint="eastAsia"/>
              </w:rPr>
              <w:t>)</w:t>
            </w:r>
          </w:p>
          <w:p w14:paraId="426CEFE0" w14:textId="33D8DB05" w:rsidR="00E56569" w:rsidRPr="00C22594" w:rsidRDefault="00C22594" w:rsidP="00B63A09">
            <w:r w:rsidRPr="00C22594">
              <w:t>글로벌 선진국들은 고독사와 사회적 고립을 더 이상 사적인 불행이 아닌 국가적 보건 위기로 규정하며 범정부 차원의 대응 체계를 구축했다. 영국은 세계 최초로 ‘외로움부(Ministry for Loneliness)’를 신설해 사회적 고립 예방 전략을 전방위적으로 펼치고 있으며</w:t>
            </w:r>
            <w:r>
              <w:rPr>
                <w:rFonts w:hint="eastAsia"/>
              </w:rPr>
              <w:t>[4]</w:t>
            </w:r>
            <w:r w:rsidRPr="00C22594">
              <w:t>, 일본 역시 ‘고독·고립대책추진법’을 제정해 내각부 산하에 전담 본부라는 강력한 컨트롤타워를 마련했다</w:t>
            </w:r>
            <w:r>
              <w:rPr>
                <w:rFonts w:hint="eastAsia"/>
              </w:rPr>
              <w:t>[5]</w:t>
            </w:r>
            <w:r w:rsidRPr="00C22594">
              <w:t>. 이들의 선제적이고 예방 중심의 조치와 달리, 한국의 대응은 여전히 예산과 인력의 지자체별 편차 속에 갇힌 임시방편적 사후 수습 단계에 머물러 있다. 국가 차원의 통합적 컨트롤타워조차 부재한 현실은 결국 고립된 이들을 침묵의 사각지대에 방치하는 대한민국 대응 체계의 뼈아픈 제도적 한계를 드러낸다.</w:t>
            </w:r>
            <w:r>
              <w:rPr>
                <w:rFonts w:hint="eastAsia"/>
              </w:rPr>
              <w:t xml:space="preserve"> </w:t>
            </w:r>
          </w:p>
          <w:p w14:paraId="5D8F3B39" w14:textId="45206035" w:rsidR="00E56569" w:rsidRDefault="00E56569" w:rsidP="00B63A09">
            <w:r>
              <w:rPr>
                <w:rFonts w:hint="eastAsia"/>
              </w:rPr>
              <w:t>(6문단</w:t>
            </w:r>
            <w:r w:rsidR="00D93ED7">
              <w:rPr>
                <w:rFonts w:hint="eastAsia"/>
              </w:rPr>
              <w:t>: 결론</w:t>
            </w:r>
            <w:r>
              <w:rPr>
                <w:rFonts w:hint="eastAsia"/>
              </w:rPr>
              <w:t>)</w:t>
            </w:r>
          </w:p>
          <w:p w14:paraId="5AF0EEEE" w14:textId="06F347EA" w:rsidR="00E56569" w:rsidRPr="00D743DC" w:rsidRDefault="00D93ED7" w:rsidP="00B63A09">
            <w:r w:rsidRPr="00D93ED7">
              <w:t xml:space="preserve">고독사는 </w:t>
            </w:r>
            <w:r w:rsidR="00367BAF">
              <w:rPr>
                <w:rFonts w:hint="eastAsia"/>
              </w:rPr>
              <w:t>개인의 문제가 아닌</w:t>
            </w:r>
            <w:r w:rsidRPr="00D93ED7">
              <w:t>, 우리 사회 전체가 직면한 구조적 위기다. 사회적 고립을 방치하고 최소한의 인간 존엄성을 지켜주지 못하는 현실은 결국 우리 모두의 책임으로 돌아온다. 영국과 일본처럼 국가 차원의 통합적 대응 체계를 마련하지 않는다면, 대한민국은 앞으로도 수많은 이들을 침묵 속의 사각지대에 방치할 수밖에 없다. 이제는 고독사를 예방 가능한 죽음으로 인식하고, 공동체 회복과 사회적 안전망 강화를 위한</w:t>
            </w:r>
            <w:r>
              <w:rPr>
                <w:rFonts w:hint="eastAsia"/>
              </w:rPr>
              <w:t xml:space="preserve"> </w:t>
            </w:r>
            <w:r w:rsidRPr="00D93ED7">
              <w:t>전략을 시급히 마련해야 한다. 침묵 속의 죽음을 더 이상 방치하지 않는 것, 그것이 우리 사회가 반드시 짊어져야 할 책무</w:t>
            </w:r>
            <w:r>
              <w:rPr>
                <w:rFonts w:hint="eastAsia"/>
              </w:rPr>
              <w:t xml:space="preserve">임은 분명하다. </w:t>
            </w:r>
          </w:p>
        </w:tc>
      </w:tr>
      <w:tr w:rsidR="00E56569" w:rsidRPr="00D743DC" w14:paraId="6F3CDCA0" w14:textId="77777777" w:rsidTr="00B63A09">
        <w:trPr>
          <w:trHeight w:val="631"/>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14:paraId="0B9266B9" w14:textId="77777777" w:rsidR="00E56569" w:rsidRPr="00D743DC" w:rsidRDefault="00E56569" w:rsidP="00B63A09">
            <w:r w:rsidRPr="00D743DC">
              <w:rPr>
                <w:rFonts w:hint="eastAsia"/>
                <w:b/>
              </w:rPr>
              <w:lastRenderedPageBreak/>
              <w:t xml:space="preserve">Data </w:t>
            </w:r>
          </w:p>
          <w:p w14:paraId="0A7B6D6D" w14:textId="77777777" w:rsidR="00E56569" w:rsidRPr="00D743DC" w:rsidRDefault="00E56569" w:rsidP="00B63A09">
            <w:r w:rsidRPr="00D743DC">
              <w:rPr>
                <w:rFonts w:hint="eastAsia"/>
                <w:b/>
              </w:rPr>
              <w:t>Source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3C219423" w14:textId="0E1D5A19" w:rsidR="00E56569" w:rsidRPr="00E56569" w:rsidRDefault="00E56569" w:rsidP="00B63A09">
            <w:r>
              <w:rPr>
                <w:rFonts w:hint="eastAsia"/>
              </w:rPr>
              <w:t>[1]</w:t>
            </w:r>
            <w:hyperlink r:id="rId6" w:history="1">
              <w:r w:rsidRPr="00133482">
                <w:rPr>
                  <w:rStyle w:val="aa"/>
                </w:rPr>
                <w:t>https://www.mohw.go.kr/board.es?mid=a10503000000&amp;bid=0027&amp;act=view&amp;list_no=1483372</w:t>
              </w:r>
            </w:hyperlink>
          </w:p>
        </w:tc>
      </w:tr>
      <w:tr w:rsidR="00E56569" w:rsidRPr="00D743DC" w14:paraId="0305AA73"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0CE8E522" w14:textId="77777777" w:rsidR="00E56569" w:rsidRPr="00D743DC" w:rsidRDefault="00E56569"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5DAAF855" w14:textId="6D56829F" w:rsidR="00E56569" w:rsidRPr="00662886" w:rsidRDefault="00662886" w:rsidP="00B63A09">
            <w:r>
              <w:rPr>
                <w:rFonts w:hint="eastAsia"/>
              </w:rPr>
              <w:t xml:space="preserve">[2] </w:t>
            </w:r>
            <w:hyperlink r:id="rId7" w:history="1">
              <w:r w:rsidRPr="00133482">
                <w:rPr>
                  <w:rStyle w:val="aa"/>
                </w:rPr>
                <w:t>https://www.hani.co.kr/arti/society/rights/1258442.html</w:t>
              </w:r>
            </w:hyperlink>
            <w:r>
              <w:rPr>
                <w:rFonts w:hint="eastAsia"/>
              </w:rPr>
              <w:t xml:space="preserve"> </w:t>
            </w:r>
          </w:p>
        </w:tc>
      </w:tr>
      <w:tr w:rsidR="00E56569" w:rsidRPr="00D743DC" w14:paraId="3B73A0A1"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0B68C1E4" w14:textId="77777777" w:rsidR="00E56569" w:rsidRPr="00D743DC" w:rsidRDefault="00E56569"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4CE2FF94" w14:textId="6999C9DD" w:rsidR="00E56569" w:rsidRPr="00662886" w:rsidRDefault="00662886" w:rsidP="00B63A09">
            <w:r>
              <w:rPr>
                <w:rFonts w:hint="eastAsia"/>
              </w:rPr>
              <w:t xml:space="preserve">[3] </w:t>
            </w:r>
            <w:hyperlink r:id="rId8" w:history="1">
              <w:r w:rsidRPr="00133482">
                <w:rPr>
                  <w:rStyle w:val="aa"/>
                </w:rPr>
                <w:t>https://www.ildaro.com/10466</w:t>
              </w:r>
            </w:hyperlink>
            <w:r>
              <w:rPr>
                <w:rFonts w:hint="eastAsia"/>
              </w:rPr>
              <w:t xml:space="preserve"> </w:t>
            </w:r>
          </w:p>
        </w:tc>
      </w:tr>
      <w:tr w:rsidR="00E56569" w:rsidRPr="00D743DC" w14:paraId="0E100BEE"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5DE6232B" w14:textId="77777777" w:rsidR="00E56569" w:rsidRPr="00D743DC" w:rsidRDefault="00E56569"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60E00AED" w14:textId="2103609E" w:rsidR="00E56569" w:rsidRPr="00C22594" w:rsidRDefault="00C22594" w:rsidP="00B63A09">
            <w:r>
              <w:rPr>
                <w:rFonts w:hint="eastAsia"/>
              </w:rPr>
              <w:t xml:space="preserve">[4] </w:t>
            </w:r>
            <w:hyperlink r:id="rId9" w:history="1">
              <w:r w:rsidRPr="00133482">
                <w:rPr>
                  <w:rStyle w:val="aa"/>
                </w:rPr>
                <w:t>https://www.kihasa.re.kr/gssr/v.27/%EA%B2%A8%EC%9A%B8/5/%EC%99%B8%EB%A1%9C%EC%9B%80%EC%97%90+%EB%8C%80%ED%95%9C+%EC%98%81%EA%B5%AD%EC%9D%98+%EC%A0%9C%EB%8F%84%EC%A0%81+%EB%8C%80%EC%9D%91+%EC%97%B0%EA%B2%B0%EB%90%9C+%EC%82%AC%ED%9A%8C</w:t>
              </w:r>
            </w:hyperlink>
            <w:r>
              <w:rPr>
                <w:rFonts w:hint="eastAsia"/>
              </w:rPr>
              <w:t xml:space="preserve"> </w:t>
            </w:r>
          </w:p>
        </w:tc>
      </w:tr>
      <w:tr w:rsidR="00E56569" w:rsidRPr="00D743DC" w14:paraId="5EF2DBBB"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18A6572C" w14:textId="77777777" w:rsidR="00E56569" w:rsidRPr="00D743DC" w:rsidRDefault="00E56569"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406ADED1" w14:textId="4380E4BE" w:rsidR="00E56569" w:rsidRPr="00C22594" w:rsidRDefault="00C22594" w:rsidP="00B63A09">
            <w:r>
              <w:rPr>
                <w:rFonts w:hint="eastAsia"/>
              </w:rPr>
              <w:t xml:space="preserve">[5] </w:t>
            </w:r>
            <w:hyperlink r:id="rId10" w:history="1">
              <w:r w:rsidRPr="00133482">
                <w:rPr>
                  <w:rStyle w:val="aa"/>
                </w:rPr>
                <w:t>https://klri.re.kr/Platform/data/3d10b24f-16d8-451a-9554-164c56b6890d/baf6eb7a-376a-44c6-83d5-28a012331279</w:t>
              </w:r>
            </w:hyperlink>
            <w:r>
              <w:rPr>
                <w:rFonts w:hint="eastAsia"/>
              </w:rPr>
              <w:t xml:space="preserve"> </w:t>
            </w:r>
          </w:p>
        </w:tc>
      </w:tr>
    </w:tbl>
    <w:p w14:paraId="4F767744" w14:textId="77777777" w:rsidR="00287C8F" w:rsidRPr="00E56569" w:rsidRDefault="00287C8F"/>
    <w:sectPr w:rsidR="00287C8F" w:rsidRPr="00E5656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3FD5" w14:textId="77777777" w:rsidR="00A61473" w:rsidRDefault="00A61473" w:rsidP="002A769E">
      <w:pPr>
        <w:spacing w:after="0"/>
      </w:pPr>
      <w:r>
        <w:separator/>
      </w:r>
    </w:p>
  </w:endnote>
  <w:endnote w:type="continuationSeparator" w:id="0">
    <w:p w14:paraId="1876EB31" w14:textId="77777777" w:rsidR="00A61473" w:rsidRDefault="00A61473" w:rsidP="002A7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8748" w14:textId="77777777" w:rsidR="00A61473" w:rsidRDefault="00A61473" w:rsidP="002A769E">
      <w:pPr>
        <w:spacing w:after="0"/>
      </w:pPr>
      <w:r>
        <w:separator/>
      </w:r>
    </w:p>
  </w:footnote>
  <w:footnote w:type="continuationSeparator" w:id="0">
    <w:p w14:paraId="749651F7" w14:textId="77777777" w:rsidR="00A61473" w:rsidRDefault="00A61473" w:rsidP="002A769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62"/>
    <w:rsid w:val="00117B7D"/>
    <w:rsid w:val="001C1DDE"/>
    <w:rsid w:val="001C4A55"/>
    <w:rsid w:val="00274D1D"/>
    <w:rsid w:val="00287C8F"/>
    <w:rsid w:val="002A769E"/>
    <w:rsid w:val="00350F62"/>
    <w:rsid w:val="00367BAF"/>
    <w:rsid w:val="00424FBC"/>
    <w:rsid w:val="005517AF"/>
    <w:rsid w:val="00662886"/>
    <w:rsid w:val="007467FF"/>
    <w:rsid w:val="00830D6E"/>
    <w:rsid w:val="008B1362"/>
    <w:rsid w:val="00A30E6D"/>
    <w:rsid w:val="00A61473"/>
    <w:rsid w:val="00A64640"/>
    <w:rsid w:val="00A81F39"/>
    <w:rsid w:val="00BE6FC1"/>
    <w:rsid w:val="00C22594"/>
    <w:rsid w:val="00CD06FD"/>
    <w:rsid w:val="00D93ED7"/>
    <w:rsid w:val="00E43B06"/>
    <w:rsid w:val="00E56569"/>
    <w:rsid w:val="00FB2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EDD3"/>
  <w15:chartTrackingRefBased/>
  <w15:docId w15:val="{E00D8F96-2195-46DF-9373-0A8E8F83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69"/>
    <w:pPr>
      <w:widowControl w:val="0"/>
      <w:wordWrap w:val="0"/>
      <w:autoSpaceDE w:val="0"/>
      <w:autoSpaceDN w:val="0"/>
    </w:pPr>
  </w:style>
  <w:style w:type="paragraph" w:styleId="1">
    <w:name w:val="heading 1"/>
    <w:basedOn w:val="a"/>
    <w:next w:val="a"/>
    <w:link w:val="1Char"/>
    <w:uiPriority w:val="9"/>
    <w:qFormat/>
    <w:rsid w:val="00350F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50F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50F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50F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50F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50F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50F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50F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50F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50F6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50F6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50F6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50F6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50F6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50F6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50F6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50F6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50F6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50F6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50F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0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50F6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50F62"/>
    <w:pPr>
      <w:spacing w:before="160"/>
      <w:jc w:val="center"/>
    </w:pPr>
    <w:rPr>
      <w:i/>
      <w:iCs/>
      <w:color w:val="404040" w:themeColor="text1" w:themeTint="BF"/>
    </w:rPr>
  </w:style>
  <w:style w:type="character" w:customStyle="1" w:styleId="Char1">
    <w:name w:val="인용 Char"/>
    <w:basedOn w:val="a0"/>
    <w:link w:val="a5"/>
    <w:uiPriority w:val="29"/>
    <w:rsid w:val="00350F62"/>
    <w:rPr>
      <w:i/>
      <w:iCs/>
      <w:color w:val="404040" w:themeColor="text1" w:themeTint="BF"/>
    </w:rPr>
  </w:style>
  <w:style w:type="paragraph" w:styleId="a6">
    <w:name w:val="List Paragraph"/>
    <w:basedOn w:val="a"/>
    <w:uiPriority w:val="34"/>
    <w:qFormat/>
    <w:rsid w:val="00350F62"/>
    <w:pPr>
      <w:ind w:left="720"/>
      <w:contextualSpacing/>
    </w:pPr>
  </w:style>
  <w:style w:type="character" w:styleId="a7">
    <w:name w:val="Intense Emphasis"/>
    <w:basedOn w:val="a0"/>
    <w:uiPriority w:val="21"/>
    <w:qFormat/>
    <w:rsid w:val="00350F62"/>
    <w:rPr>
      <w:i/>
      <w:iCs/>
      <w:color w:val="0F4761" w:themeColor="accent1" w:themeShade="BF"/>
    </w:rPr>
  </w:style>
  <w:style w:type="paragraph" w:styleId="a8">
    <w:name w:val="Intense Quote"/>
    <w:basedOn w:val="a"/>
    <w:next w:val="a"/>
    <w:link w:val="Char2"/>
    <w:uiPriority w:val="30"/>
    <w:qFormat/>
    <w:rsid w:val="0035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50F62"/>
    <w:rPr>
      <w:i/>
      <w:iCs/>
      <w:color w:val="0F4761" w:themeColor="accent1" w:themeShade="BF"/>
    </w:rPr>
  </w:style>
  <w:style w:type="character" w:styleId="a9">
    <w:name w:val="Intense Reference"/>
    <w:basedOn w:val="a0"/>
    <w:uiPriority w:val="32"/>
    <w:qFormat/>
    <w:rsid w:val="00350F62"/>
    <w:rPr>
      <w:b/>
      <w:bCs/>
      <w:smallCaps/>
      <w:color w:val="0F4761" w:themeColor="accent1" w:themeShade="BF"/>
      <w:spacing w:val="5"/>
    </w:rPr>
  </w:style>
  <w:style w:type="character" w:styleId="aa">
    <w:name w:val="Hyperlink"/>
    <w:basedOn w:val="a0"/>
    <w:uiPriority w:val="99"/>
    <w:unhideWhenUsed/>
    <w:rsid w:val="00E56569"/>
    <w:rPr>
      <w:color w:val="467886" w:themeColor="hyperlink"/>
      <w:u w:val="single"/>
    </w:rPr>
  </w:style>
  <w:style w:type="character" w:styleId="ab">
    <w:name w:val="Unresolved Mention"/>
    <w:basedOn w:val="a0"/>
    <w:uiPriority w:val="99"/>
    <w:semiHidden/>
    <w:unhideWhenUsed/>
    <w:rsid w:val="00E56569"/>
    <w:rPr>
      <w:color w:val="605E5C"/>
      <w:shd w:val="clear" w:color="auto" w:fill="E1DFDD"/>
    </w:rPr>
  </w:style>
  <w:style w:type="paragraph" w:styleId="ac">
    <w:name w:val="header"/>
    <w:basedOn w:val="a"/>
    <w:link w:val="Char3"/>
    <w:uiPriority w:val="99"/>
    <w:unhideWhenUsed/>
    <w:rsid w:val="002A769E"/>
    <w:pPr>
      <w:tabs>
        <w:tab w:val="center" w:pos="4513"/>
        <w:tab w:val="right" w:pos="9026"/>
      </w:tabs>
      <w:snapToGrid w:val="0"/>
    </w:pPr>
  </w:style>
  <w:style w:type="character" w:customStyle="1" w:styleId="Char3">
    <w:name w:val="머리글 Char"/>
    <w:basedOn w:val="a0"/>
    <w:link w:val="ac"/>
    <w:uiPriority w:val="99"/>
    <w:rsid w:val="002A769E"/>
  </w:style>
  <w:style w:type="paragraph" w:styleId="ad">
    <w:name w:val="footer"/>
    <w:basedOn w:val="a"/>
    <w:link w:val="Char4"/>
    <w:uiPriority w:val="99"/>
    <w:unhideWhenUsed/>
    <w:rsid w:val="002A769E"/>
    <w:pPr>
      <w:tabs>
        <w:tab w:val="center" w:pos="4513"/>
        <w:tab w:val="right" w:pos="9026"/>
      </w:tabs>
      <w:snapToGrid w:val="0"/>
    </w:pPr>
  </w:style>
  <w:style w:type="character" w:customStyle="1" w:styleId="Char4">
    <w:name w:val="바닥글 Char"/>
    <w:basedOn w:val="a0"/>
    <w:link w:val="ad"/>
    <w:uiPriority w:val="99"/>
    <w:rsid w:val="002A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daro.com/10466" TargetMode="External"/><Relationship Id="rId3" Type="http://schemas.openxmlformats.org/officeDocument/2006/relationships/webSettings" Target="webSettings.xml"/><Relationship Id="rId7" Type="http://schemas.openxmlformats.org/officeDocument/2006/relationships/hyperlink" Target="https://www.hani.co.kr/arti/society/rights/125844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hw.go.kr/board.es?mid=a10503000000&amp;bid=0027&amp;act=view&amp;list_no=148337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klri.re.kr/Platform/data/3d10b24f-16d8-451a-9554-164c56b6890d/baf6eb7a-376a-44c6-83d5-28a012331279" TargetMode="External"/><Relationship Id="rId4" Type="http://schemas.openxmlformats.org/officeDocument/2006/relationships/footnotes" Target="footnotes.xml"/><Relationship Id="rId9" Type="http://schemas.openxmlformats.org/officeDocument/2006/relationships/hyperlink" Target="https://www.kihasa.re.kr/gssr/v.27/%EA%B2%A8%EC%9A%B8/5/%EC%99%B8%EB%A1%9C%EC%9B%80%EC%97%90+%EB%8C%80%ED%95%9C+%EC%98%81%EA%B5%AD%EC%9D%98+%EC%A0%9C%EB%8F%84%EC%A0%81+%EB%8C%80%EC%9D%91+%EC%97%B0%EA%B2%B0%EB%90%9C+%EC%82%AC%ED%9A%8C"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492</Words>
  <Characters>2807</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제형민</dc:creator>
  <cp:keywords/>
  <dc:description/>
  <cp:lastModifiedBy>제형민</cp:lastModifiedBy>
  <cp:revision>10</cp:revision>
  <dcterms:created xsi:type="dcterms:W3CDTF">2026-06-17T07:27:00Z</dcterms:created>
  <dcterms:modified xsi:type="dcterms:W3CDTF">2026-06-19T08:44:00Z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d04b7d70-88e3-45dd-8588-0c52089a8bd6</vt:lpwstr>
  </property>
</Properties>
</file>