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195"/>
        <w:gridCol w:w="7821"/>
      </w:tblGrid>
      <w:tr w:rsidR="002E2903" w14:paraId="060265B6" w14:textId="77777777" w:rsidTr="00FA5DFA">
        <w:trPr>
          <w:trHeight w:val="987"/>
        </w:trPr>
        <w:tc>
          <w:tcPr>
            <w:tcW w:w="1195"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821" w:type="dxa"/>
          </w:tcPr>
          <w:p w14:paraId="531BC566" w14:textId="0EAC635C" w:rsidR="002E2903" w:rsidRDefault="00AD5905">
            <w:pPr>
              <w:rPr>
                <w:szCs w:val="20"/>
              </w:rPr>
            </w:pPr>
            <w:r>
              <w:rPr>
                <w:rFonts w:hint="eastAsia"/>
                <w:szCs w:val="20"/>
              </w:rPr>
              <w:t>2</w:t>
            </w:r>
            <w:r w:rsidR="00FC681B">
              <w:rPr>
                <w:rFonts w:hint="eastAsia"/>
                <w:szCs w:val="20"/>
              </w:rPr>
              <w:t>5</w:t>
            </w:r>
            <w:r w:rsidR="00C21A1D">
              <w:rPr>
                <w:rFonts w:hint="eastAsia"/>
                <w:szCs w:val="20"/>
              </w:rPr>
              <w:t>4</w:t>
            </w:r>
            <w:r>
              <w:rPr>
                <w:rFonts w:hint="eastAsia"/>
                <w:szCs w:val="20"/>
              </w:rPr>
              <w:t>호</w:t>
            </w:r>
          </w:p>
          <w:p w14:paraId="36160674" w14:textId="7FF2CE58" w:rsidR="00AD5905" w:rsidRDefault="00C21A1D">
            <w:pPr>
              <w:rPr>
                <w:szCs w:val="20"/>
              </w:rPr>
            </w:pPr>
            <w:r>
              <w:rPr>
                <w:rFonts w:hint="eastAsia"/>
                <w:szCs w:val="20"/>
              </w:rPr>
              <w:t>September</w:t>
            </w:r>
            <w:r w:rsidR="00FA5DFA">
              <w:rPr>
                <w:szCs w:val="20"/>
              </w:rPr>
              <w:t xml:space="preserve"> </w:t>
            </w:r>
            <w:r w:rsidR="00AD5905">
              <w:rPr>
                <w:rFonts w:hint="eastAsia"/>
                <w:szCs w:val="20"/>
              </w:rPr>
              <w:t>2</w:t>
            </w:r>
            <w:r w:rsidR="00AD5905">
              <w:rPr>
                <w:szCs w:val="20"/>
              </w:rPr>
              <w:t>02</w:t>
            </w:r>
            <w:r w:rsidR="00E1791D">
              <w:rPr>
                <w:rFonts w:hint="eastAsia"/>
                <w:szCs w:val="20"/>
              </w:rPr>
              <w:t>6</w:t>
            </w:r>
            <w:r w:rsidR="00AD5905">
              <w:rPr>
                <w:szCs w:val="20"/>
              </w:rPr>
              <w:t xml:space="preserve"> </w:t>
            </w:r>
          </w:p>
        </w:tc>
      </w:tr>
      <w:tr w:rsidR="0016084D" w14:paraId="01A31825" w14:textId="77777777" w:rsidTr="00AD5905">
        <w:trPr>
          <w:trHeight w:val="549"/>
        </w:trPr>
        <w:tc>
          <w:tcPr>
            <w:tcW w:w="1195" w:type="dxa"/>
          </w:tcPr>
          <w:p w14:paraId="4A4D6C5D" w14:textId="12D3BF6A" w:rsidR="0016084D" w:rsidRDefault="0016084D">
            <w:pPr>
              <w:jc w:val="center"/>
              <w:rPr>
                <w:b/>
                <w:sz w:val="22"/>
              </w:rPr>
            </w:pPr>
            <w:r>
              <w:rPr>
                <w:rFonts w:hint="eastAsia"/>
                <w:b/>
                <w:sz w:val="22"/>
              </w:rPr>
              <w:t>R</w:t>
            </w:r>
            <w:r>
              <w:rPr>
                <w:b/>
                <w:sz w:val="22"/>
              </w:rPr>
              <w:t>eporter</w:t>
            </w:r>
          </w:p>
        </w:tc>
        <w:tc>
          <w:tcPr>
            <w:tcW w:w="7821" w:type="dxa"/>
          </w:tcPr>
          <w:p w14:paraId="17430853" w14:textId="78C3F188" w:rsidR="0016084D" w:rsidRDefault="00F10A48">
            <w:pPr>
              <w:rPr>
                <w:szCs w:val="20"/>
              </w:rPr>
            </w:pPr>
            <w:r>
              <w:rPr>
                <w:rFonts w:hint="eastAsia"/>
                <w:szCs w:val="20"/>
              </w:rPr>
              <w:t xml:space="preserve">62기 </w:t>
            </w:r>
            <w:r w:rsidR="00E1791D">
              <w:rPr>
                <w:rFonts w:hint="eastAsia"/>
                <w:szCs w:val="20"/>
              </w:rPr>
              <w:t xml:space="preserve">사회부 </w:t>
            </w:r>
            <w:r w:rsidR="00C21A1D">
              <w:rPr>
                <w:rFonts w:hint="eastAsia"/>
                <w:szCs w:val="20"/>
              </w:rPr>
              <w:t>부장</w:t>
            </w:r>
            <w:r w:rsidR="00E1791D">
              <w:rPr>
                <w:rFonts w:hint="eastAsia"/>
                <w:szCs w:val="20"/>
              </w:rPr>
              <w:t>기자</w:t>
            </w:r>
            <w:r>
              <w:rPr>
                <w:rFonts w:hint="eastAsia"/>
                <w:szCs w:val="20"/>
              </w:rPr>
              <w:t xml:space="preserve"> 임동현</w:t>
            </w:r>
          </w:p>
        </w:tc>
      </w:tr>
      <w:tr w:rsidR="0016084D" w14:paraId="0910E3B5" w14:textId="77777777" w:rsidTr="00AD5905">
        <w:trPr>
          <w:trHeight w:val="549"/>
        </w:trPr>
        <w:tc>
          <w:tcPr>
            <w:tcW w:w="1195" w:type="dxa"/>
          </w:tcPr>
          <w:p w14:paraId="07ED9B13" w14:textId="125BD783" w:rsidR="0016084D" w:rsidRDefault="0016084D">
            <w:pPr>
              <w:jc w:val="center"/>
              <w:rPr>
                <w:b/>
                <w:sz w:val="22"/>
              </w:rPr>
            </w:pPr>
            <w:r>
              <w:rPr>
                <w:rFonts w:hint="eastAsia"/>
                <w:b/>
                <w:sz w:val="22"/>
              </w:rPr>
              <w:t>S</w:t>
            </w:r>
            <w:r>
              <w:rPr>
                <w:b/>
                <w:sz w:val="22"/>
              </w:rPr>
              <w:t>ection</w:t>
            </w:r>
          </w:p>
        </w:tc>
        <w:tc>
          <w:tcPr>
            <w:tcW w:w="7821" w:type="dxa"/>
          </w:tcPr>
          <w:p w14:paraId="4162DEFA" w14:textId="5D47664B" w:rsidR="0016084D" w:rsidRDefault="007868D4">
            <w:pPr>
              <w:rPr>
                <w:szCs w:val="20"/>
              </w:rPr>
            </w:pPr>
            <w:r>
              <w:rPr>
                <w:rFonts w:hint="eastAsia"/>
                <w:szCs w:val="20"/>
              </w:rPr>
              <w:t>Feature</w:t>
            </w:r>
          </w:p>
        </w:tc>
      </w:tr>
      <w:tr w:rsidR="002E2903" w14:paraId="38E889F2" w14:textId="77777777" w:rsidTr="00AD5905">
        <w:trPr>
          <w:trHeight w:val="554"/>
        </w:trPr>
        <w:tc>
          <w:tcPr>
            <w:tcW w:w="1195" w:type="dxa"/>
          </w:tcPr>
          <w:p w14:paraId="2504BB3B" w14:textId="77777777" w:rsidR="002E2903" w:rsidRDefault="00B33690">
            <w:pPr>
              <w:jc w:val="center"/>
              <w:rPr>
                <w:b/>
                <w:sz w:val="22"/>
              </w:rPr>
            </w:pPr>
            <w:r>
              <w:rPr>
                <w:rFonts w:hint="eastAsia"/>
                <w:b/>
                <w:sz w:val="22"/>
              </w:rPr>
              <w:t>T</w:t>
            </w:r>
            <w:r>
              <w:rPr>
                <w:b/>
                <w:sz w:val="22"/>
              </w:rPr>
              <w:t>itle</w:t>
            </w:r>
          </w:p>
        </w:tc>
        <w:tc>
          <w:tcPr>
            <w:tcW w:w="7821" w:type="dxa"/>
          </w:tcPr>
          <w:p w14:paraId="418F7E2E" w14:textId="2E7851FD" w:rsidR="002E2903" w:rsidRDefault="00767ECB">
            <w:pPr>
              <w:rPr>
                <w:szCs w:val="20"/>
              </w:rPr>
            </w:pPr>
            <w:r>
              <w:rPr>
                <w:rFonts w:hint="eastAsia"/>
                <w:szCs w:val="20"/>
              </w:rPr>
              <w:t>알고리즘 중독, 개인의 의지인가 기업의 책임인가</w:t>
            </w:r>
          </w:p>
        </w:tc>
      </w:tr>
      <w:tr w:rsidR="002E2903" w14:paraId="63F388F4" w14:textId="77777777" w:rsidTr="00AD5905">
        <w:trPr>
          <w:trHeight w:val="523"/>
        </w:trPr>
        <w:tc>
          <w:tcPr>
            <w:tcW w:w="1195" w:type="dxa"/>
          </w:tcPr>
          <w:p w14:paraId="4C00DD95" w14:textId="77777777" w:rsidR="002E2903" w:rsidRDefault="00B33690">
            <w:pPr>
              <w:jc w:val="center"/>
              <w:rPr>
                <w:b/>
                <w:sz w:val="22"/>
              </w:rPr>
            </w:pPr>
            <w:r>
              <w:rPr>
                <w:rFonts w:hint="eastAsia"/>
                <w:b/>
                <w:sz w:val="22"/>
              </w:rPr>
              <w:t>P</w:t>
            </w:r>
            <w:r>
              <w:rPr>
                <w:b/>
                <w:sz w:val="22"/>
              </w:rPr>
              <w:t>urpose</w:t>
            </w:r>
          </w:p>
        </w:tc>
        <w:tc>
          <w:tcPr>
            <w:tcW w:w="7821" w:type="dxa"/>
          </w:tcPr>
          <w:p w14:paraId="584180B5" w14:textId="3538E7AD" w:rsidR="002E2903" w:rsidRPr="00FF4355" w:rsidRDefault="001C7C2B">
            <w:pPr>
              <w:rPr>
                <w:szCs w:val="20"/>
              </w:rPr>
            </w:pPr>
            <w:r w:rsidRPr="00FF4355">
              <w:rPr>
                <w:szCs w:val="20"/>
              </w:rPr>
              <w:t>알고리즘 중독의 구조적 원인과 기업의 책임을 규명하고 청소년 보호를 위한 국내외 대응 사례와 제도적 개선 방안을 제시</w:t>
            </w:r>
            <w:r w:rsidRPr="00FF4355">
              <w:rPr>
                <w:rFonts w:hint="eastAsia"/>
                <w:szCs w:val="20"/>
              </w:rPr>
              <w:t>한다</w:t>
            </w:r>
            <w:r w:rsidR="00E7274A" w:rsidRPr="00FF4355">
              <w:rPr>
                <w:szCs w:val="20"/>
              </w:rPr>
              <w:t>.</w:t>
            </w:r>
          </w:p>
        </w:tc>
      </w:tr>
      <w:tr w:rsidR="002E2903" w14:paraId="68FE8192" w14:textId="77777777" w:rsidTr="00D11100">
        <w:trPr>
          <w:trHeight w:val="1550"/>
        </w:trPr>
        <w:tc>
          <w:tcPr>
            <w:tcW w:w="1195" w:type="dxa"/>
          </w:tcPr>
          <w:p w14:paraId="10D9D362" w14:textId="77777777" w:rsidR="002E2903" w:rsidRDefault="00B33690">
            <w:pPr>
              <w:spacing w:before="240"/>
              <w:jc w:val="center"/>
              <w:rPr>
                <w:b/>
                <w:sz w:val="22"/>
              </w:rPr>
            </w:pPr>
            <w:r>
              <w:rPr>
                <w:b/>
                <w:sz w:val="22"/>
              </w:rPr>
              <w:t>Outline</w:t>
            </w:r>
          </w:p>
        </w:tc>
        <w:tc>
          <w:tcPr>
            <w:tcW w:w="7821" w:type="dxa"/>
          </w:tcPr>
          <w:p w14:paraId="0F8F08CF" w14:textId="06A0C656" w:rsidR="002E2903"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CD483D">
              <w:rPr>
                <w:rFonts w:ascii="맑은 고딕" w:eastAsia="맑은 고딕" w:hAnsi="맑은 고딕" w:hint="eastAsia"/>
                <w:color w:val="000000"/>
                <w:szCs w:val="20"/>
                <w:shd w:val="clear" w:color="auto" w:fill="FFFFFF"/>
              </w:rPr>
              <w:t xml:space="preserve"> </w:t>
            </w:r>
            <w:r w:rsidR="007671A2" w:rsidRPr="00AA6473">
              <w:rPr>
                <w:rFonts w:ascii="맑은 고딕" w:eastAsia="맑은 고딕" w:hAnsi="맑은 고딕"/>
                <w:b/>
                <w:bCs/>
                <w:color w:val="000000"/>
                <w:szCs w:val="20"/>
                <w:shd w:val="clear" w:color="auto" w:fill="FFFFFF"/>
              </w:rPr>
              <w:t>설계된 몰입, 알고리즘 중독을 바라보는 새로운 시선</w:t>
            </w:r>
          </w:p>
          <w:p w14:paraId="7028206A" w14:textId="773E56F4" w:rsidR="00C63BB0" w:rsidRDefault="00323812">
            <w:pPr>
              <w:spacing w:before="240"/>
              <w:rPr>
                <w:rFonts w:ascii="맑은 고딕" w:eastAsia="맑은 고딕" w:hAnsi="맑은 고딕"/>
                <w:color w:val="000000"/>
                <w:szCs w:val="20"/>
                <w:shd w:val="clear" w:color="auto" w:fill="FFFFFF"/>
              </w:rPr>
            </w:pPr>
            <w:r w:rsidRPr="00323812">
              <w:rPr>
                <w:rFonts w:ascii="맑은 고딕" w:eastAsia="맑은 고딕" w:hAnsi="맑은 고딕"/>
                <w:color w:val="000000"/>
                <w:szCs w:val="20"/>
                <w:shd w:val="clear" w:color="auto" w:fill="FFFFFF"/>
              </w:rPr>
              <w:t xml:space="preserve">최근 스마트폰과 사회관계망서비스(SNS) 이용 시간이 급증하면서 ‘디지털 중독’을 바라보는 사회적 관점이 근본적으로 변화하고 있다. 과거에는 중독의 원인을 개인의 자제력 부족이나 부모의 방임 탓으로 돌리는 시각이 지배적이었으나, 최근에는 플랫폼 기업의 의도적인 서비스 설계가 중독을 유발한다는 ‘설계 책임론’이 힘을 얻고 있다. 이는 사용자가 플랫폼에 머무는 시간이 길수록 수익이 늘어나는 ‘관심 경제(Attention Economy)’ 비즈니스 모델이 알고리즘 설계의 근본적인 배경이 되기 때문이다. 따라서 중독 현상은 사용자의 선택 </w:t>
            </w:r>
            <w:proofErr w:type="spellStart"/>
            <w:r w:rsidRPr="00323812">
              <w:rPr>
                <w:rFonts w:ascii="맑은 고딕" w:eastAsia="맑은 고딕" w:hAnsi="맑은 고딕"/>
                <w:color w:val="000000"/>
                <w:szCs w:val="20"/>
                <w:shd w:val="clear" w:color="auto" w:fill="FFFFFF"/>
              </w:rPr>
              <w:t>결과라기보다</w:t>
            </w:r>
            <w:proofErr w:type="spellEnd"/>
            <w:r w:rsidRPr="00323812">
              <w:rPr>
                <w:rFonts w:ascii="맑은 고딕" w:eastAsia="맑은 고딕" w:hAnsi="맑은 고딕"/>
                <w:color w:val="000000"/>
                <w:szCs w:val="20"/>
                <w:shd w:val="clear" w:color="auto" w:fill="FFFFFF"/>
              </w:rPr>
              <w:t xml:space="preserve"> 기업의 수익 극대화 전략에 의해 치밀하게 구조화된 결과라는 분석이 </w:t>
            </w:r>
            <w:r w:rsidR="00A114E1">
              <w:rPr>
                <w:rFonts w:ascii="맑은 고딕" w:eastAsia="맑은 고딕" w:hAnsi="맑은 고딕" w:hint="eastAsia"/>
                <w:color w:val="000000"/>
                <w:szCs w:val="20"/>
                <w:shd w:val="clear" w:color="auto" w:fill="FFFFFF"/>
              </w:rPr>
              <w:t>나온</w:t>
            </w:r>
            <w:r w:rsidRPr="00323812">
              <w:rPr>
                <w:rFonts w:ascii="맑은 고딕" w:eastAsia="맑은 고딕" w:hAnsi="맑은 고딕"/>
                <w:color w:val="000000"/>
                <w:szCs w:val="20"/>
                <w:shd w:val="clear" w:color="auto" w:fill="FFFFFF"/>
              </w:rPr>
              <w:t>다</w:t>
            </w:r>
            <w:r w:rsidR="00E909C4" w:rsidRPr="00E909C4">
              <w:rPr>
                <w:rFonts w:ascii="맑은 고딕" w:eastAsia="맑은 고딕" w:hAnsi="맑은 고딕"/>
                <w:color w:val="000000"/>
                <w:szCs w:val="20"/>
                <w:shd w:val="clear" w:color="auto" w:fill="FFFFFF"/>
              </w:rPr>
              <w:t>.</w:t>
            </w:r>
          </w:p>
          <w:p w14:paraId="7BECDEA4" w14:textId="76BED505" w:rsidR="00433D8D"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2문단</w:t>
            </w:r>
            <w:r>
              <w:rPr>
                <w:rFonts w:ascii="맑은 고딕" w:eastAsia="맑은 고딕" w:hAnsi="맑은 고딕" w:hint="eastAsia"/>
                <w:color w:val="000000"/>
                <w:szCs w:val="20"/>
                <w:shd w:val="clear" w:color="auto" w:fill="FFFFFF"/>
              </w:rPr>
              <w:t>)</w:t>
            </w:r>
            <w:r w:rsidR="00CD483D">
              <w:rPr>
                <w:rFonts w:ascii="맑은 고딕" w:eastAsia="맑은 고딕" w:hAnsi="맑은 고딕" w:hint="eastAsia"/>
                <w:color w:val="000000"/>
                <w:szCs w:val="20"/>
                <w:shd w:val="clear" w:color="auto" w:fill="FFFFFF"/>
              </w:rPr>
              <w:t xml:space="preserve"> </w:t>
            </w:r>
            <w:r w:rsidR="00E734B6" w:rsidRPr="00AA6473">
              <w:rPr>
                <w:rFonts w:ascii="맑은 고딕" w:eastAsia="맑은 고딕" w:hAnsi="맑은 고딕" w:hint="eastAsia"/>
                <w:b/>
                <w:bCs/>
                <w:color w:val="000000"/>
                <w:szCs w:val="20"/>
                <w:shd w:val="clear" w:color="auto" w:fill="FFFFFF"/>
              </w:rPr>
              <w:t>중독을 유발하는 핵심 기술</w:t>
            </w:r>
          </w:p>
          <w:p w14:paraId="74067C97" w14:textId="042C885C" w:rsidR="00731FA8" w:rsidRDefault="00B86F3F">
            <w:r w:rsidRPr="00B86F3F">
              <w:t xml:space="preserve">이러한 중독을 유발하는 대표적인 기술적 장치로는 ‘무한 스크롤(Infinite Scroll)’과 ‘자동 재생(Auto-play)’ 기능이 핵심적으로 지목된다. 무한 스크롤은 사용자가 이용을 멈추고 인지적 판단을 내릴 수 있는 멈춤 신호를 의도적으로 제거하여, 자신도 모르게 시간이 흘러가는 이른바 시간 안개 상태를 유발한다. </w:t>
            </w:r>
            <w:r w:rsidR="00E734B6" w:rsidRPr="00E734B6">
              <w:t xml:space="preserve">이에 더해 자동 재생 기능은 사용자가 재생 버튼을 누르지 않아도 다음 콘텐츠를 강제로 노출함으로써, 사용자의 선택 기본 설정을 지속으로 고정하여 자제력을 약화시킨다. 또한 ‘당겨서 </w:t>
            </w:r>
            <w:proofErr w:type="spellStart"/>
            <w:r w:rsidR="00E734B6" w:rsidRPr="00E734B6">
              <w:t>새로고침</w:t>
            </w:r>
            <w:proofErr w:type="spellEnd"/>
            <w:r w:rsidR="00E734B6" w:rsidRPr="00E734B6">
              <w:t>’ 기능은 슬롯머신과 유사한 간헐적 변동 보상 메커니즘을 통해 뇌의 도파민 분출을 유도한다. 이러한 장치들은 사용자의 취향을 파고드는 추천 알고리즘과 결합하여 한 번 클릭하면 더 자극적인 콘텐츠로 이끄는 ‘</w:t>
            </w:r>
            <w:proofErr w:type="spellStart"/>
            <w:r w:rsidR="00E734B6" w:rsidRPr="00E734B6">
              <w:t>토끼굴</w:t>
            </w:r>
            <w:proofErr w:type="spellEnd"/>
            <w:r w:rsidR="00E734B6" w:rsidRPr="00E734B6">
              <w:t xml:space="preserve"> 효과’</w:t>
            </w:r>
            <w:proofErr w:type="spellStart"/>
            <w:r w:rsidR="00E734B6" w:rsidRPr="00E734B6">
              <w:t>를</w:t>
            </w:r>
            <w:proofErr w:type="spellEnd"/>
            <w:r w:rsidR="00E734B6" w:rsidRPr="00E734B6">
              <w:t xml:space="preserve"> 공고히 한다</w:t>
            </w:r>
            <w:r w:rsidR="00731FA8" w:rsidRPr="00731FA8">
              <w:t>.</w:t>
            </w:r>
            <w:r w:rsidR="00731FA8" w:rsidRPr="00731FA8">
              <w:rPr>
                <w:rFonts w:hint="eastAsia"/>
              </w:rPr>
              <w:t xml:space="preserve"> </w:t>
            </w:r>
          </w:p>
          <w:p w14:paraId="1CFB47C1" w14:textId="019881D0" w:rsidR="002E2903" w:rsidRPr="00AA6473" w:rsidRDefault="00B33690">
            <w:pPr>
              <w:rPr>
                <w:rFonts w:ascii="맑은 고딕" w:eastAsia="맑은 고딕" w:hAnsi="맑은 고딕"/>
                <w:b/>
                <w:bCs/>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3문단</w:t>
            </w:r>
            <w:r>
              <w:rPr>
                <w:rFonts w:ascii="맑은 고딕" w:eastAsia="맑은 고딕" w:hAnsi="맑은 고딕" w:hint="eastAsia"/>
                <w:color w:val="000000"/>
                <w:szCs w:val="20"/>
                <w:shd w:val="clear" w:color="auto" w:fill="FFFFFF"/>
              </w:rPr>
              <w:t>)</w:t>
            </w:r>
            <w:r w:rsidR="00CD483D">
              <w:rPr>
                <w:rFonts w:ascii="맑은 고딕" w:eastAsia="맑은 고딕" w:hAnsi="맑은 고딕" w:hint="eastAsia"/>
                <w:color w:val="000000"/>
                <w:szCs w:val="20"/>
                <w:shd w:val="clear" w:color="auto" w:fill="FFFFFF"/>
              </w:rPr>
              <w:t xml:space="preserve"> </w:t>
            </w:r>
            <w:r w:rsidR="00152739" w:rsidRPr="00AA6473">
              <w:rPr>
                <w:rFonts w:ascii="맑은 고딕" w:eastAsia="맑은 고딕" w:hAnsi="맑은 고딕"/>
                <w:b/>
                <w:bCs/>
                <w:color w:val="000000"/>
                <w:szCs w:val="20"/>
                <w:shd w:val="clear" w:color="auto" w:fill="FFFFFF"/>
              </w:rPr>
              <w:t>청소년 정신건강의 위기</w:t>
            </w:r>
          </w:p>
          <w:p w14:paraId="5ECEDA6B" w14:textId="68C7BB93" w:rsidR="00645FCF" w:rsidRDefault="00B86F3F">
            <w:pPr>
              <w:spacing w:before="240"/>
              <w:rPr>
                <w:rFonts w:ascii="맑은 고딕" w:eastAsia="맑은 고딕" w:hAnsi="맑은 고딕"/>
                <w:color w:val="000000"/>
                <w:szCs w:val="20"/>
                <w:shd w:val="clear" w:color="auto" w:fill="FFFFFF"/>
              </w:rPr>
            </w:pPr>
            <w:r w:rsidRPr="00B86F3F">
              <w:rPr>
                <w:rFonts w:ascii="맑은 고딕" w:eastAsia="맑은 고딕" w:hAnsi="맑은 고딕"/>
                <w:color w:val="000000"/>
                <w:szCs w:val="20"/>
                <w:shd w:val="clear" w:color="auto" w:fill="FFFFFF"/>
              </w:rPr>
              <w:t xml:space="preserve">알고리즘 기반의 강박적 이용은 특히 뇌가 발달 중인 아동과 청소년의 정신 건강에 치명적인 영향을 미칠 수 있다. </w:t>
            </w:r>
            <w:proofErr w:type="spellStart"/>
            <w:r w:rsidRPr="00B86F3F">
              <w:rPr>
                <w:rFonts w:ascii="맑은 고딕" w:eastAsia="맑은 고딕" w:hAnsi="맑은 고딕"/>
                <w:color w:val="000000"/>
                <w:szCs w:val="20"/>
                <w:shd w:val="clear" w:color="auto" w:fill="FFFFFF"/>
              </w:rPr>
              <w:t>숏폼</w:t>
            </w:r>
            <w:proofErr w:type="spellEnd"/>
            <w:r w:rsidRPr="00B86F3F">
              <w:rPr>
                <w:rFonts w:ascii="맑은 고딕" w:eastAsia="맑은 고딕" w:hAnsi="맑은 고딕"/>
                <w:color w:val="000000"/>
                <w:szCs w:val="20"/>
                <w:shd w:val="clear" w:color="auto" w:fill="FFFFFF"/>
              </w:rPr>
              <w:t xml:space="preserve"> 영상과 같은 자극적인 정보에 지속적으로 </w:t>
            </w:r>
            <w:r w:rsidRPr="00B86F3F">
              <w:rPr>
                <w:rFonts w:ascii="맑은 고딕" w:eastAsia="맑은 고딕" w:hAnsi="맑은 고딕"/>
                <w:color w:val="000000"/>
                <w:szCs w:val="20"/>
                <w:shd w:val="clear" w:color="auto" w:fill="FFFFFF"/>
              </w:rPr>
              <w:lastRenderedPageBreak/>
              <w:t xml:space="preserve">노출되면 뇌가 즉각적인 보상에만 반응하도록 재편되어 우울증, 불안, 수면 장애는 물론 인지 기능 저하를 초래할 위험이 크다. 실제로 </w:t>
            </w:r>
            <w:r w:rsidR="0019309E">
              <w:rPr>
                <w:rFonts w:ascii="맑은 고딕" w:eastAsia="맑은 고딕" w:hAnsi="맑은 고딕" w:hint="eastAsia"/>
                <w:color w:val="000000"/>
                <w:szCs w:val="20"/>
                <w:shd w:val="clear" w:color="auto" w:fill="FFFFFF"/>
              </w:rPr>
              <w:t>과학기술정보통신부에서 공개한 통계</w:t>
            </w:r>
            <w:r w:rsidRPr="00B86F3F">
              <w:rPr>
                <w:rFonts w:ascii="맑은 고딕" w:eastAsia="맑은 고딕" w:hAnsi="맑은 고딕"/>
                <w:color w:val="000000"/>
                <w:szCs w:val="20"/>
                <w:shd w:val="clear" w:color="auto" w:fill="FFFFFF"/>
              </w:rPr>
              <w:t xml:space="preserve">에 따르면 청소년의 약 43%가 스마트폰 </w:t>
            </w:r>
            <w:proofErr w:type="spellStart"/>
            <w:r w:rsidRPr="00B86F3F">
              <w:rPr>
                <w:rFonts w:ascii="맑은 고딕" w:eastAsia="맑은 고딕" w:hAnsi="맑은 고딕"/>
                <w:color w:val="000000"/>
                <w:szCs w:val="20"/>
                <w:shd w:val="clear" w:color="auto" w:fill="FFFFFF"/>
              </w:rPr>
              <w:t>과의존</w:t>
            </w:r>
            <w:proofErr w:type="spellEnd"/>
            <w:r w:rsidRPr="00B86F3F">
              <w:rPr>
                <w:rFonts w:ascii="맑은 고딕" w:eastAsia="맑은 고딕" w:hAnsi="맑은 고딕"/>
                <w:color w:val="000000"/>
                <w:szCs w:val="20"/>
                <w:shd w:val="clear" w:color="auto" w:fill="FFFFFF"/>
              </w:rPr>
              <w:t xml:space="preserve"> 위험군으로 분류되었으며, 이들의 알고리즘 반복 시청 경험은 성인보다 높게 나타나 중독적 구조에 더욱 취약함을 보여주었다. 이는 단순히 학습권의 문제를 넘어 미래 세대의 정서적·인지적 기초를 흔드는 중대한 사회적 위기로 인식되고 있다</w:t>
            </w:r>
            <w:r w:rsidR="00645FCF" w:rsidRPr="00645FCF">
              <w:rPr>
                <w:rFonts w:ascii="맑은 고딕" w:eastAsia="맑은 고딕" w:hAnsi="맑은 고딕"/>
                <w:color w:val="000000"/>
                <w:szCs w:val="20"/>
                <w:shd w:val="clear" w:color="auto" w:fill="FFFFFF"/>
              </w:rPr>
              <w:t>.</w:t>
            </w:r>
            <w:r w:rsidR="00645FCF" w:rsidRPr="00645FCF">
              <w:rPr>
                <w:rFonts w:ascii="맑은 고딕" w:eastAsia="맑은 고딕" w:hAnsi="맑은 고딕" w:hint="eastAsia"/>
                <w:color w:val="000000"/>
                <w:szCs w:val="20"/>
                <w:shd w:val="clear" w:color="auto" w:fill="FFFFFF"/>
              </w:rPr>
              <w:t xml:space="preserve"> </w:t>
            </w:r>
          </w:p>
          <w:p w14:paraId="46990C94" w14:textId="77777777" w:rsidR="00F64B92" w:rsidRPr="00AA6473" w:rsidRDefault="00AD5905">
            <w:pPr>
              <w:spacing w:before="240"/>
              <w:rPr>
                <w:rFonts w:ascii="맑은 고딕" w:eastAsia="맑은 고딕" w:hAnsi="맑은 고딕"/>
                <w:b/>
                <w:bCs/>
                <w:color w:val="000000"/>
                <w:szCs w:val="20"/>
                <w:shd w:val="clear" w:color="auto" w:fill="FFFFFF"/>
              </w:rPr>
            </w:pPr>
            <w:r>
              <w:rPr>
                <w:rFonts w:ascii="맑은 고딕" w:eastAsia="맑은 고딕" w:hAnsi="맑은 고딕" w:hint="eastAsia"/>
                <w:color w:val="000000"/>
                <w:szCs w:val="20"/>
                <w:shd w:val="clear" w:color="auto" w:fill="FFFFFF"/>
              </w:rPr>
              <w:t>(</w:t>
            </w:r>
            <w:r>
              <w:rPr>
                <w:rFonts w:ascii="맑은 고딕" w:eastAsia="맑은 고딕" w:hAnsi="맑은 고딕"/>
                <w:color w:val="000000"/>
                <w:szCs w:val="20"/>
                <w:shd w:val="clear" w:color="auto" w:fill="FFFFFF"/>
              </w:rPr>
              <w:t>4</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r w:rsidR="00CD483D">
              <w:rPr>
                <w:rFonts w:ascii="맑은 고딕" w:eastAsia="맑은 고딕" w:hAnsi="맑은 고딕" w:hint="eastAsia"/>
                <w:color w:val="000000"/>
                <w:szCs w:val="20"/>
                <w:shd w:val="clear" w:color="auto" w:fill="FFFFFF"/>
              </w:rPr>
              <w:t xml:space="preserve"> </w:t>
            </w:r>
            <w:r w:rsidR="00F64B92" w:rsidRPr="00AA6473">
              <w:rPr>
                <w:rFonts w:ascii="맑은 고딕" w:eastAsia="맑은 고딕" w:hAnsi="맑은 고딕"/>
                <w:b/>
                <w:bCs/>
                <w:color w:val="000000"/>
                <w:szCs w:val="20"/>
                <w:shd w:val="clear" w:color="auto" w:fill="FFFFFF"/>
              </w:rPr>
              <w:t>법정으로 간 알고리즘, ‘</w:t>
            </w:r>
            <w:proofErr w:type="spellStart"/>
            <w:r w:rsidR="00F64B92" w:rsidRPr="00AA6473">
              <w:rPr>
                <w:rFonts w:ascii="맑은 고딕" w:eastAsia="맑은 고딕" w:hAnsi="맑은 고딕"/>
                <w:b/>
                <w:bCs/>
                <w:color w:val="000000"/>
                <w:szCs w:val="20"/>
                <w:shd w:val="clear" w:color="auto" w:fill="FFFFFF"/>
              </w:rPr>
              <w:t>제조물</w:t>
            </w:r>
            <w:proofErr w:type="spellEnd"/>
            <w:r w:rsidR="00F64B92" w:rsidRPr="00AA6473">
              <w:rPr>
                <w:rFonts w:ascii="맑은 고딕" w:eastAsia="맑은 고딕" w:hAnsi="맑은 고딕"/>
                <w:b/>
                <w:bCs/>
                <w:color w:val="000000"/>
                <w:szCs w:val="20"/>
                <w:shd w:val="clear" w:color="auto" w:fill="FFFFFF"/>
              </w:rPr>
              <w:t xml:space="preserve"> 책임’ 묻는 미국 판결</w:t>
            </w:r>
          </w:p>
          <w:p w14:paraId="32450020" w14:textId="688A4FB1" w:rsidR="00BE4A26" w:rsidRDefault="00EA2D62">
            <w:pPr>
              <w:spacing w:before="240"/>
              <w:rPr>
                <w:rFonts w:ascii="맑은 고딕" w:eastAsia="맑은 고딕" w:hAnsi="맑은 고딕"/>
                <w:color w:val="000000"/>
                <w:szCs w:val="20"/>
                <w:shd w:val="clear" w:color="auto" w:fill="FFFFFF"/>
              </w:rPr>
            </w:pPr>
            <w:r w:rsidRPr="00EA2D62">
              <w:rPr>
                <w:rFonts w:ascii="맑은 고딕" w:eastAsia="맑은 고딕" w:hAnsi="맑은 고딕"/>
                <w:color w:val="000000"/>
                <w:szCs w:val="20"/>
                <w:shd w:val="clear" w:color="auto" w:fill="FFFFFF"/>
              </w:rPr>
              <w:t xml:space="preserve">이러한 문제의 심각성이 대두되자 미국 법원에서는 플랫폼 기업의 책임을 묻는 기념비적인 판결이 잇따르고 있다. 미국 캘리포니아와 </w:t>
            </w:r>
            <w:proofErr w:type="spellStart"/>
            <w:r w:rsidRPr="00EA2D62">
              <w:rPr>
                <w:rFonts w:ascii="맑은 고딕" w:eastAsia="맑은 고딕" w:hAnsi="맑은 고딕"/>
                <w:color w:val="000000"/>
                <w:szCs w:val="20"/>
                <w:shd w:val="clear" w:color="auto" w:fill="FFFFFF"/>
              </w:rPr>
              <w:t>뉴멕시코</w:t>
            </w:r>
            <w:proofErr w:type="spellEnd"/>
            <w:r w:rsidRPr="00EA2D62">
              <w:rPr>
                <w:rFonts w:ascii="맑은 고딕" w:eastAsia="맑은 고딕" w:hAnsi="맑은 고딕"/>
                <w:color w:val="000000"/>
                <w:szCs w:val="20"/>
                <w:shd w:val="clear" w:color="auto" w:fill="FFFFFF"/>
              </w:rPr>
              <w:t xml:space="preserve"> 배심원단은 메타와 구글의 알고리즘 설계가 청소년의 심리적 취약점을 공략한 ‘유해 제품’과 같다고 판단하며 거액의 배상금과 벌금 지급을 명령했다. 법원은 이를 단순한 정보 공유 공간이 아닌, 위험한 설계가 가미된 ‘</w:t>
            </w:r>
            <w:proofErr w:type="spellStart"/>
            <w:r w:rsidRPr="00EA2D62">
              <w:rPr>
                <w:rFonts w:ascii="맑은 고딕" w:eastAsia="맑은 고딕" w:hAnsi="맑은 고딕"/>
                <w:color w:val="000000"/>
                <w:szCs w:val="20"/>
                <w:shd w:val="clear" w:color="auto" w:fill="FFFFFF"/>
              </w:rPr>
              <w:t>제조물</w:t>
            </w:r>
            <w:proofErr w:type="spellEnd"/>
            <w:r w:rsidRPr="00EA2D62">
              <w:rPr>
                <w:rFonts w:ascii="맑은 고딕" w:eastAsia="맑은 고딕" w:hAnsi="맑은 고딕"/>
                <w:color w:val="000000"/>
                <w:szCs w:val="20"/>
                <w:shd w:val="clear" w:color="auto" w:fill="FFFFFF"/>
              </w:rPr>
              <w:t>’로 해석하여 기업에 ‘</w:t>
            </w:r>
            <w:proofErr w:type="spellStart"/>
            <w:r w:rsidRPr="00EA2D62">
              <w:rPr>
                <w:rFonts w:ascii="맑은 고딕" w:eastAsia="맑은 고딕" w:hAnsi="맑은 고딕"/>
                <w:color w:val="000000"/>
                <w:szCs w:val="20"/>
                <w:shd w:val="clear" w:color="auto" w:fill="FFFFFF"/>
              </w:rPr>
              <w:t>제조물</w:t>
            </w:r>
            <w:proofErr w:type="spellEnd"/>
            <w:r w:rsidRPr="00EA2D62">
              <w:rPr>
                <w:rFonts w:ascii="맑은 고딕" w:eastAsia="맑은 고딕" w:hAnsi="맑은 고딕"/>
                <w:color w:val="000000"/>
                <w:szCs w:val="20"/>
                <w:shd w:val="clear" w:color="auto" w:fill="FFFFFF"/>
              </w:rPr>
              <w:t xml:space="preserve"> 책임(Product Liability)’을 물었다는 점에서 빅테크 산업의 역사적 분기점을 마련했다</w:t>
            </w:r>
            <w:r w:rsidR="00E30CA7">
              <w:rPr>
                <w:rFonts w:ascii="맑은 고딕" w:eastAsia="맑은 고딕" w:hAnsi="맑은 고딕" w:hint="eastAsia"/>
                <w:color w:val="000000"/>
                <w:szCs w:val="20"/>
                <w:shd w:val="clear" w:color="auto" w:fill="FFFFFF"/>
              </w:rPr>
              <w:t>.</w:t>
            </w:r>
            <w:r w:rsidR="00BE4A26" w:rsidRPr="00BE4A26">
              <w:rPr>
                <w:rFonts w:ascii="맑은 고딕" w:eastAsia="맑은 고딕" w:hAnsi="맑은 고딕" w:hint="eastAsia"/>
                <w:color w:val="000000"/>
                <w:szCs w:val="20"/>
                <w:shd w:val="clear" w:color="auto" w:fill="FFFFFF"/>
              </w:rPr>
              <w:t xml:space="preserve"> </w:t>
            </w:r>
          </w:p>
          <w:p w14:paraId="19590D28" w14:textId="361F3F69" w:rsidR="00B5351A" w:rsidRPr="00AA6473" w:rsidRDefault="00AD5905">
            <w:pPr>
              <w:spacing w:before="240"/>
              <w:rPr>
                <w:rFonts w:ascii="맑은 고딕" w:eastAsia="맑은 고딕" w:hAnsi="맑은 고딕"/>
                <w:b/>
                <w:bCs/>
                <w:color w:val="000000"/>
                <w:szCs w:val="20"/>
                <w:shd w:val="clear" w:color="auto" w:fill="FFFFFF"/>
              </w:rPr>
            </w:pPr>
            <w:r>
              <w:rPr>
                <w:rFonts w:ascii="맑은 고딕" w:eastAsia="맑은 고딕" w:hAnsi="맑은 고딕" w:hint="eastAsia"/>
                <w:color w:val="000000"/>
                <w:szCs w:val="20"/>
                <w:shd w:val="clear" w:color="auto" w:fill="FFFFFF"/>
              </w:rPr>
              <w:t>(</w:t>
            </w:r>
            <w:r>
              <w:rPr>
                <w:rFonts w:ascii="맑은 고딕" w:eastAsia="맑은 고딕" w:hAnsi="맑은 고딕"/>
                <w:color w:val="000000"/>
                <w:szCs w:val="20"/>
                <w:shd w:val="clear" w:color="auto" w:fill="FFFFFF"/>
              </w:rPr>
              <w:t>5</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r w:rsidR="00CD483D">
              <w:rPr>
                <w:rFonts w:ascii="맑은 고딕" w:eastAsia="맑은 고딕" w:hAnsi="맑은 고딕" w:hint="eastAsia"/>
                <w:color w:val="000000"/>
                <w:szCs w:val="20"/>
                <w:shd w:val="clear" w:color="auto" w:fill="FFFFFF"/>
              </w:rPr>
              <w:t xml:space="preserve"> </w:t>
            </w:r>
            <w:r w:rsidR="00303FB5" w:rsidRPr="00AA6473">
              <w:rPr>
                <w:rFonts w:ascii="맑은 고딕" w:eastAsia="맑은 고딕" w:hAnsi="맑은 고딕"/>
                <w:b/>
                <w:bCs/>
                <w:color w:val="000000"/>
                <w:szCs w:val="20"/>
                <w:shd w:val="clear" w:color="auto" w:fill="FFFFFF"/>
              </w:rPr>
              <w:t xml:space="preserve">국경을 넘는 규제, 국제사회의 </w:t>
            </w:r>
            <w:proofErr w:type="spellStart"/>
            <w:r w:rsidR="00303FB5" w:rsidRPr="00AA6473">
              <w:rPr>
                <w:rFonts w:ascii="맑은 고딕" w:eastAsia="맑은 고딕" w:hAnsi="맑은 고딕"/>
                <w:b/>
                <w:bCs/>
                <w:color w:val="000000"/>
                <w:szCs w:val="20"/>
                <w:shd w:val="clear" w:color="auto" w:fill="FFFFFF"/>
              </w:rPr>
              <w:t>선제적</w:t>
            </w:r>
            <w:proofErr w:type="spellEnd"/>
            <w:r w:rsidR="00303FB5" w:rsidRPr="00AA6473">
              <w:rPr>
                <w:rFonts w:ascii="맑은 고딕" w:eastAsia="맑은 고딕" w:hAnsi="맑은 고딕"/>
                <w:b/>
                <w:bCs/>
                <w:color w:val="000000"/>
                <w:szCs w:val="20"/>
                <w:shd w:val="clear" w:color="auto" w:fill="FFFFFF"/>
              </w:rPr>
              <w:t xml:space="preserve"> 대응과 모델</w:t>
            </w:r>
          </w:p>
          <w:p w14:paraId="69F19F2D" w14:textId="06AF9120" w:rsidR="00BE4A26" w:rsidRDefault="00EA2D62" w:rsidP="004F1C47">
            <w:pPr>
              <w:spacing w:before="240"/>
              <w:rPr>
                <w:rFonts w:ascii="맑은 고딕" w:eastAsia="맑은 고딕" w:hAnsi="맑은 고딕"/>
                <w:color w:val="000000"/>
                <w:szCs w:val="20"/>
                <w:shd w:val="clear" w:color="auto" w:fill="FFFFFF"/>
              </w:rPr>
            </w:pPr>
            <w:r w:rsidRPr="00EA2D62">
              <w:rPr>
                <w:rFonts w:ascii="맑은 고딕" w:eastAsia="맑은 고딕" w:hAnsi="맑은 고딕"/>
                <w:color w:val="000000"/>
                <w:szCs w:val="20"/>
                <w:shd w:val="clear" w:color="auto" w:fill="FFFFFF"/>
              </w:rPr>
              <w:t xml:space="preserve">국제사회는 알고리즘 중독에 대응하기 위해 접근 차단과 설계 규제라는 </w:t>
            </w:r>
            <w:proofErr w:type="spellStart"/>
            <w:r w:rsidRPr="00EA2D62">
              <w:rPr>
                <w:rFonts w:ascii="맑은 고딕" w:eastAsia="맑은 고딕" w:hAnsi="맑은 고딕"/>
                <w:color w:val="000000"/>
                <w:szCs w:val="20"/>
                <w:shd w:val="clear" w:color="auto" w:fill="FFFFFF"/>
              </w:rPr>
              <w:t>전방위적인</w:t>
            </w:r>
            <w:proofErr w:type="spellEnd"/>
            <w:r w:rsidRPr="00EA2D62">
              <w:rPr>
                <w:rFonts w:ascii="맑은 고딕" w:eastAsia="맑은 고딕" w:hAnsi="맑은 고딕"/>
                <w:color w:val="000000"/>
                <w:szCs w:val="20"/>
                <w:shd w:val="clear" w:color="auto" w:fill="FFFFFF"/>
              </w:rPr>
              <w:t xml:space="preserve"> 장치를 마련 중이다. 호주는 16세 미만 청소년의 SNS 이용을 전면 금지하는 법안을 시행했으며, 유럽연합(EU)은 디지털서비스법(DSA)을 통해 미성년자 대상의 알고리즘 기반 맞춤 광고와 설득적 설계를 엄격히 금지하고 있다. 특히 영국과 북유럽 국가들은 법적 규제와 더불어 전문 상담가를 매칭해주는 ‘사회적 처방(Social Prescription)’ 모델을 도입하여 중독 피해를 실질적으로 </w:t>
            </w:r>
            <w:proofErr w:type="spellStart"/>
            <w:r w:rsidRPr="00EA2D62">
              <w:rPr>
                <w:rFonts w:ascii="맑은 고딕" w:eastAsia="맑은 고딕" w:hAnsi="맑은 고딕"/>
                <w:color w:val="000000"/>
                <w:szCs w:val="20"/>
                <w:shd w:val="clear" w:color="auto" w:fill="FFFFFF"/>
              </w:rPr>
              <w:t>케어하는</w:t>
            </w:r>
            <w:proofErr w:type="spellEnd"/>
            <w:r w:rsidRPr="00EA2D62">
              <w:rPr>
                <w:rFonts w:ascii="맑은 고딕" w:eastAsia="맑은 고딕" w:hAnsi="맑은 고딕"/>
                <w:color w:val="000000"/>
                <w:szCs w:val="20"/>
                <w:shd w:val="clear" w:color="auto" w:fill="FFFFFF"/>
              </w:rPr>
              <w:t xml:space="preserve"> 전략을 구사하고 있다. 이러한 글로벌 흐름은 중독 방지를 위한 안전장치 마련이 기업의 선택이 아닌 법적 의무임을 명확히 하고 있다</w:t>
            </w:r>
            <w:r w:rsidR="00BE4A26" w:rsidRPr="00BE4A26">
              <w:rPr>
                <w:rFonts w:ascii="맑은 고딕" w:eastAsia="맑은 고딕" w:hAnsi="맑은 고딕"/>
                <w:color w:val="000000"/>
                <w:szCs w:val="20"/>
                <w:shd w:val="clear" w:color="auto" w:fill="FFFFFF"/>
              </w:rPr>
              <w:t>.</w:t>
            </w:r>
            <w:r w:rsidR="00BE4A26" w:rsidRPr="00BE4A26">
              <w:rPr>
                <w:rFonts w:ascii="맑은 고딕" w:eastAsia="맑은 고딕" w:hAnsi="맑은 고딕" w:hint="eastAsia"/>
                <w:color w:val="000000"/>
                <w:szCs w:val="20"/>
                <w:shd w:val="clear" w:color="auto" w:fill="FFFFFF"/>
              </w:rPr>
              <w:t xml:space="preserve"> </w:t>
            </w:r>
          </w:p>
          <w:p w14:paraId="37A6B158" w14:textId="71D889AB" w:rsidR="004F1C47" w:rsidRPr="00AA6473" w:rsidRDefault="004F1C47" w:rsidP="004F1C47">
            <w:pPr>
              <w:spacing w:before="240"/>
              <w:rPr>
                <w:rFonts w:ascii="맑은 고딕" w:eastAsia="맑은 고딕" w:hAnsi="맑은 고딕"/>
                <w:b/>
                <w:bCs/>
                <w:color w:val="000000"/>
                <w:szCs w:val="20"/>
                <w:shd w:val="clear" w:color="auto" w:fill="FFFFFF"/>
              </w:rPr>
            </w:pPr>
            <w:r>
              <w:rPr>
                <w:rFonts w:ascii="맑은 고딕" w:eastAsia="맑은 고딕" w:hAnsi="맑은 고딕" w:hint="eastAsia"/>
                <w:color w:val="000000"/>
                <w:szCs w:val="20"/>
                <w:shd w:val="clear" w:color="auto" w:fill="FFFFFF"/>
              </w:rPr>
              <w:t>(6문단)</w:t>
            </w:r>
            <w:r w:rsidR="009B0FF4">
              <w:rPr>
                <w:rFonts w:ascii="맑은 고딕" w:eastAsia="맑은 고딕" w:hAnsi="맑은 고딕" w:hint="eastAsia"/>
                <w:color w:val="000000"/>
                <w:szCs w:val="20"/>
                <w:shd w:val="clear" w:color="auto" w:fill="FFFFFF"/>
              </w:rPr>
              <w:t xml:space="preserve"> </w:t>
            </w:r>
            <w:r w:rsidR="00303FB5" w:rsidRPr="00AA6473">
              <w:rPr>
                <w:rFonts w:ascii="맑은 고딕" w:eastAsia="맑은 고딕" w:hAnsi="맑은 고딕"/>
                <w:b/>
                <w:bCs/>
                <w:color w:val="000000"/>
                <w:szCs w:val="20"/>
                <w:shd w:val="clear" w:color="auto" w:fill="FFFFFF"/>
              </w:rPr>
              <w:t>한국의 현주소, 답보 상태인 관련 법안과 추진 과제</w:t>
            </w:r>
          </w:p>
          <w:p w14:paraId="70CA27DC" w14:textId="14252C59" w:rsidR="00F0626B" w:rsidRPr="00F0626B" w:rsidRDefault="00EA2D62" w:rsidP="00F0626B">
            <w:pPr>
              <w:spacing w:before="240"/>
              <w:rPr>
                <w:rFonts w:ascii="맑은 고딕" w:eastAsia="맑은 고딕" w:hAnsi="맑은 고딕"/>
                <w:color w:val="000000"/>
                <w:szCs w:val="20"/>
                <w:shd w:val="clear" w:color="auto" w:fill="FFFFFF"/>
              </w:rPr>
            </w:pPr>
            <w:r w:rsidRPr="00EA2D62">
              <w:rPr>
                <w:rFonts w:ascii="맑은 고딕" w:eastAsia="맑은 고딕" w:hAnsi="맑은 고딕"/>
                <w:color w:val="000000"/>
                <w:szCs w:val="20"/>
                <w:shd w:val="clear" w:color="auto" w:fill="FFFFFF"/>
              </w:rPr>
              <w:t xml:space="preserve">한국 역시 디지털 중독 문제가 일상의 위협으로 다가왔으나, 제도적 대응은 해외 사례에 비해 상대적으로 더딘 실정이다. 현재 국회에는 중독 유발 기능이나 추천 알고리즘을 규제하기 위한 정보통신망법 개정안들이 여러 건 발의되어 있으나, 본격적인 공청회나 부처 간 협력 체계 구축은 여전히 </w:t>
            </w:r>
            <w:r w:rsidR="004E3F37">
              <w:rPr>
                <w:rFonts w:ascii="맑은 고딕" w:eastAsia="맑은 고딕" w:hAnsi="맑은 고딕" w:hint="eastAsia"/>
                <w:color w:val="000000"/>
                <w:szCs w:val="20"/>
                <w:shd w:val="clear" w:color="auto" w:fill="FFFFFF"/>
              </w:rPr>
              <w:t>제자리</w:t>
            </w:r>
            <w:r w:rsidRPr="00EA2D62">
              <w:rPr>
                <w:rFonts w:ascii="맑은 고딕" w:eastAsia="맑은 고딕" w:hAnsi="맑은 고딕"/>
                <w:color w:val="000000"/>
                <w:szCs w:val="20"/>
                <w:shd w:val="clear" w:color="auto" w:fill="FFFFFF"/>
              </w:rPr>
              <w:t xml:space="preserve">에 머물러 있다. 주무 부처인 </w:t>
            </w:r>
            <w:proofErr w:type="spellStart"/>
            <w:r w:rsidRPr="00EA2D62">
              <w:rPr>
                <w:rFonts w:ascii="맑은 고딕" w:eastAsia="맑은 고딕" w:hAnsi="맑은 고딕"/>
                <w:color w:val="000000"/>
                <w:szCs w:val="20"/>
                <w:shd w:val="clear" w:color="auto" w:fill="FFFFFF"/>
              </w:rPr>
              <w:t>방송통신위원회뿐만</w:t>
            </w:r>
            <w:proofErr w:type="spellEnd"/>
            <w:r w:rsidRPr="00EA2D62">
              <w:rPr>
                <w:rFonts w:ascii="맑은 고딕" w:eastAsia="맑은 고딕" w:hAnsi="맑은 고딕"/>
                <w:color w:val="000000"/>
                <w:szCs w:val="20"/>
                <w:shd w:val="clear" w:color="auto" w:fill="FFFFFF"/>
              </w:rPr>
              <w:t xml:space="preserve"> 아니라 여성가족부, 교육부 등이 참여하는 범정부 차원의 컨트롤 타워가 부재하다는 점도 문제로 지적된다. 규제 범위 또한 알고리즘 추천에만 편중되어 있어, 무한 스크롤이나 자동 재생 등 구체적인 설계 결함까지 아우르는 포괄적인 입법 논의가 시급하다</w:t>
            </w:r>
            <w:r w:rsidR="00BE01BF">
              <w:rPr>
                <w:rFonts w:ascii="맑은 고딕" w:eastAsia="맑은 고딕" w:hAnsi="맑은 고딕" w:hint="eastAsia"/>
                <w:color w:val="000000"/>
                <w:szCs w:val="20"/>
                <w:shd w:val="clear" w:color="auto" w:fill="FFFFFF"/>
              </w:rPr>
              <w:t>.</w:t>
            </w:r>
          </w:p>
          <w:p w14:paraId="391FA2A6" w14:textId="3124A3C3" w:rsidR="004503B8" w:rsidRPr="00AA6473" w:rsidRDefault="004503B8" w:rsidP="004F1C47">
            <w:pPr>
              <w:spacing w:before="240"/>
              <w:rPr>
                <w:rFonts w:ascii="맑은 고딕" w:eastAsia="맑은 고딕" w:hAnsi="맑은 고딕"/>
                <w:b/>
                <w:bCs/>
                <w:color w:val="000000"/>
                <w:szCs w:val="20"/>
                <w:shd w:val="clear" w:color="auto" w:fill="FFFFFF"/>
              </w:rPr>
            </w:pPr>
            <w:r>
              <w:rPr>
                <w:rFonts w:ascii="맑은 고딕" w:eastAsia="맑은 고딕" w:hAnsi="맑은 고딕" w:hint="eastAsia"/>
                <w:color w:val="000000"/>
                <w:szCs w:val="20"/>
                <w:shd w:val="clear" w:color="auto" w:fill="FFFFFF"/>
              </w:rPr>
              <w:lastRenderedPageBreak/>
              <w:t>(7문단)</w:t>
            </w:r>
            <w:r w:rsidR="009B0FF4">
              <w:rPr>
                <w:rFonts w:ascii="맑은 고딕" w:eastAsia="맑은 고딕" w:hAnsi="맑은 고딕" w:hint="eastAsia"/>
                <w:color w:val="000000"/>
                <w:szCs w:val="20"/>
                <w:shd w:val="clear" w:color="auto" w:fill="FFFFFF"/>
              </w:rPr>
              <w:t xml:space="preserve"> </w:t>
            </w:r>
            <w:r w:rsidR="00AC3B8C" w:rsidRPr="00AA6473">
              <w:rPr>
                <w:rFonts w:ascii="맑은 고딕" w:eastAsia="맑은 고딕" w:hAnsi="맑은 고딕"/>
                <w:b/>
                <w:bCs/>
                <w:color w:val="000000"/>
                <w:szCs w:val="20"/>
                <w:shd w:val="clear" w:color="auto" w:fill="FFFFFF"/>
              </w:rPr>
              <w:t>기술과 안전의 균형을 위한 제언과 사회적 합의</w:t>
            </w:r>
          </w:p>
          <w:p w14:paraId="6EFC881C" w14:textId="7E2E4AE8" w:rsidR="004F1C47" w:rsidRPr="004F1C47" w:rsidRDefault="005105C8" w:rsidP="004F1C47">
            <w:pPr>
              <w:spacing w:before="240"/>
              <w:rPr>
                <w:rFonts w:ascii="맑은 고딕" w:eastAsia="맑은 고딕" w:hAnsi="맑은 고딕"/>
                <w:color w:val="000000"/>
                <w:szCs w:val="20"/>
                <w:shd w:val="clear" w:color="auto" w:fill="FFFFFF"/>
              </w:rPr>
            </w:pPr>
            <w:r w:rsidRPr="005105C8">
              <w:rPr>
                <w:rFonts w:ascii="맑은 고딕" w:eastAsia="맑은 고딕" w:hAnsi="맑은 고딕"/>
                <w:color w:val="000000"/>
                <w:szCs w:val="20"/>
                <w:shd w:val="clear" w:color="auto" w:fill="FFFFFF"/>
              </w:rPr>
              <w:t xml:space="preserve">결론적으로 알고리즘 중독 문제는 개인의 영역을 넘어 사회적 합의와 기업의 윤리적 결단이 필요한 공적 의제로 다루어져야 한다. 우선 기업은 알고리즘의 투명성을 높이기 위해 정기적으로 관련 정보를 공개하고, 미성년자 계정에서는 무한 스크롤과 자동 재생 기능을 기본값으로 ‘꺼짐’ 설정하도록 시스템을 재설계해야 한다. 정부는 단순한 이용 금지를 넘어 </w:t>
            </w:r>
            <w:proofErr w:type="spellStart"/>
            <w:r w:rsidRPr="005105C8">
              <w:rPr>
                <w:rFonts w:ascii="맑은 고딕" w:eastAsia="맑은 고딕" w:hAnsi="맑은 고딕"/>
                <w:color w:val="000000"/>
                <w:szCs w:val="20"/>
                <w:shd w:val="clear" w:color="auto" w:fill="FFFFFF"/>
              </w:rPr>
              <w:t>영지식</w:t>
            </w:r>
            <w:proofErr w:type="spellEnd"/>
            <w:r w:rsidRPr="005105C8">
              <w:rPr>
                <w:rFonts w:ascii="맑은 고딕" w:eastAsia="맑은 고딕" w:hAnsi="맑은 고딕"/>
                <w:color w:val="000000"/>
                <w:szCs w:val="20"/>
                <w:shd w:val="clear" w:color="auto" w:fill="FFFFFF"/>
              </w:rPr>
              <w:t xml:space="preserve"> 증명(ZKP)과 같은 첨단 연령 보증 기술 도입 로드맵을 수립하고, 기술의 혁신과 이용자 보호가 공존할 수 있는 명확한 가이드라인을 제시해야 한다. 결국 플랫폼 기업이 사회적 책임을 다하는 ‘책임 있는 제조자’로 거듭날 때, 비로소 미래 세대를 위한 건강한 디지털 생태계가 지속될 수 있을 것이다</w:t>
            </w:r>
            <w:r>
              <w:rPr>
                <w:rFonts w:ascii="맑은 고딕" w:eastAsia="맑은 고딕" w:hAnsi="맑은 고딕" w:hint="eastAsia"/>
                <w:color w:val="000000"/>
                <w:szCs w:val="20"/>
                <w:shd w:val="clear" w:color="auto" w:fill="FFFFFF"/>
              </w:rPr>
              <w:t>.</w:t>
            </w:r>
          </w:p>
        </w:tc>
      </w:tr>
      <w:tr w:rsidR="00D11100" w14:paraId="3B76DDD9" w14:textId="77777777" w:rsidTr="00E25DC1">
        <w:trPr>
          <w:trHeight w:val="541"/>
        </w:trPr>
        <w:tc>
          <w:tcPr>
            <w:tcW w:w="1195" w:type="dxa"/>
            <w:vMerge w:val="restart"/>
          </w:tcPr>
          <w:p w14:paraId="06BDB15C" w14:textId="77777777" w:rsidR="00D11100" w:rsidRDefault="00D11100">
            <w:pPr>
              <w:jc w:val="center"/>
              <w:rPr>
                <w:b/>
                <w:sz w:val="22"/>
              </w:rPr>
            </w:pPr>
            <w:r>
              <w:rPr>
                <w:rFonts w:hint="eastAsia"/>
                <w:b/>
                <w:sz w:val="22"/>
              </w:rPr>
              <w:lastRenderedPageBreak/>
              <w:t>D</w:t>
            </w:r>
            <w:r>
              <w:rPr>
                <w:b/>
                <w:sz w:val="22"/>
              </w:rPr>
              <w:t xml:space="preserve">ata </w:t>
            </w:r>
          </w:p>
          <w:p w14:paraId="3649B871" w14:textId="77777777" w:rsidR="00D11100" w:rsidRDefault="00D11100">
            <w:pPr>
              <w:jc w:val="center"/>
              <w:rPr>
                <w:b/>
                <w:sz w:val="22"/>
              </w:rPr>
            </w:pPr>
            <w:r>
              <w:rPr>
                <w:b/>
                <w:sz w:val="22"/>
              </w:rPr>
              <w:t>Source</w:t>
            </w:r>
          </w:p>
        </w:tc>
        <w:tc>
          <w:tcPr>
            <w:tcW w:w="7821" w:type="dxa"/>
          </w:tcPr>
          <w:p w14:paraId="32567FF0" w14:textId="200F8E92" w:rsidR="00D11100" w:rsidRPr="00372FDA" w:rsidRDefault="006044E4">
            <w:pPr>
              <w:tabs>
                <w:tab w:val="left" w:pos="1344"/>
              </w:tabs>
              <w:spacing w:after="0" w:line="240" w:lineRule="auto"/>
              <w:rPr>
                <w:color w:val="0000FF"/>
                <w:szCs w:val="20"/>
                <w:u w:val="single"/>
              </w:rPr>
            </w:pPr>
            <w:r w:rsidRPr="006044E4">
              <w:rPr>
                <w:color w:val="0000FF"/>
                <w:szCs w:val="20"/>
                <w:u w:val="single"/>
              </w:rPr>
              <w:t>https://www.g-enews.com/article/Global-Biz/2026/04/202604021017267365fbbec65dfb_1</w:t>
            </w:r>
            <w:r>
              <w:rPr>
                <w:rFonts w:hint="eastAsia"/>
                <w:color w:val="0000FF"/>
                <w:szCs w:val="20"/>
                <w:u w:val="single"/>
              </w:rPr>
              <w:t xml:space="preserve"> </w:t>
            </w:r>
          </w:p>
        </w:tc>
      </w:tr>
      <w:tr w:rsidR="00D11100" w14:paraId="0B075432" w14:textId="77777777" w:rsidTr="00D354E1">
        <w:trPr>
          <w:trHeight w:val="588"/>
        </w:trPr>
        <w:tc>
          <w:tcPr>
            <w:tcW w:w="1195" w:type="dxa"/>
            <w:vMerge/>
          </w:tcPr>
          <w:p w14:paraId="5A29A87E" w14:textId="77777777" w:rsidR="00D11100" w:rsidRDefault="00D11100">
            <w:pPr>
              <w:jc w:val="center"/>
              <w:rPr>
                <w:b/>
                <w:sz w:val="22"/>
              </w:rPr>
            </w:pPr>
          </w:p>
        </w:tc>
        <w:tc>
          <w:tcPr>
            <w:tcW w:w="7821" w:type="dxa"/>
          </w:tcPr>
          <w:p w14:paraId="13ADBBB9" w14:textId="63B0A9CA" w:rsidR="00397978" w:rsidRPr="00397978" w:rsidRDefault="006044E4">
            <w:pPr>
              <w:tabs>
                <w:tab w:val="left" w:pos="1344"/>
              </w:tabs>
              <w:spacing w:after="0" w:line="240" w:lineRule="auto"/>
              <w:rPr>
                <w:szCs w:val="20"/>
              </w:rPr>
            </w:pPr>
            <w:hyperlink r:id="rId7" w:history="1">
              <w:r w:rsidRPr="008F3079">
                <w:rPr>
                  <w:rStyle w:val="a6"/>
                  <w:szCs w:val="20"/>
                </w:rPr>
                <w:t>https://www.dginclusion.com/news/articleView.html?idxno=1680</w:t>
              </w:r>
            </w:hyperlink>
            <w:r>
              <w:rPr>
                <w:rFonts w:hint="eastAsia"/>
                <w:szCs w:val="20"/>
              </w:rPr>
              <w:t xml:space="preserve"> </w:t>
            </w:r>
          </w:p>
        </w:tc>
      </w:tr>
      <w:tr w:rsidR="00D11100" w14:paraId="36417B34" w14:textId="77777777" w:rsidTr="00F61007">
        <w:trPr>
          <w:trHeight w:val="588"/>
        </w:trPr>
        <w:tc>
          <w:tcPr>
            <w:tcW w:w="1195" w:type="dxa"/>
            <w:vMerge/>
          </w:tcPr>
          <w:p w14:paraId="2E30BF66" w14:textId="77777777" w:rsidR="00D11100" w:rsidRDefault="00D11100">
            <w:pPr>
              <w:jc w:val="center"/>
              <w:rPr>
                <w:b/>
                <w:sz w:val="22"/>
              </w:rPr>
            </w:pPr>
          </w:p>
        </w:tc>
        <w:tc>
          <w:tcPr>
            <w:tcW w:w="7821" w:type="dxa"/>
          </w:tcPr>
          <w:p w14:paraId="62DC3DF3" w14:textId="700413AF" w:rsidR="00143258" w:rsidRPr="00143258" w:rsidRDefault="007059F7">
            <w:pPr>
              <w:tabs>
                <w:tab w:val="left" w:pos="1344"/>
              </w:tabs>
              <w:spacing w:after="0" w:line="240" w:lineRule="auto"/>
              <w:rPr>
                <w:szCs w:val="20"/>
              </w:rPr>
            </w:pPr>
            <w:hyperlink r:id="rId8" w:history="1">
              <w:r w:rsidRPr="008F3079">
                <w:rPr>
                  <w:rStyle w:val="a6"/>
                  <w:szCs w:val="20"/>
                </w:rPr>
                <w:t>https://www.nongmin.com/article/20260522500373</w:t>
              </w:r>
            </w:hyperlink>
            <w:r>
              <w:rPr>
                <w:rFonts w:hint="eastAsia"/>
                <w:szCs w:val="20"/>
              </w:rPr>
              <w:t xml:space="preserve"> </w:t>
            </w:r>
          </w:p>
        </w:tc>
      </w:tr>
      <w:tr w:rsidR="00D11100" w14:paraId="01182539" w14:textId="77777777" w:rsidTr="00FA5DFA">
        <w:trPr>
          <w:trHeight w:val="657"/>
        </w:trPr>
        <w:tc>
          <w:tcPr>
            <w:tcW w:w="1195" w:type="dxa"/>
            <w:vMerge/>
          </w:tcPr>
          <w:p w14:paraId="6F536FAA" w14:textId="77777777" w:rsidR="00D11100" w:rsidRDefault="00D11100">
            <w:pPr>
              <w:jc w:val="center"/>
              <w:rPr>
                <w:b/>
                <w:sz w:val="22"/>
              </w:rPr>
            </w:pPr>
          </w:p>
        </w:tc>
        <w:tc>
          <w:tcPr>
            <w:tcW w:w="7821" w:type="dxa"/>
          </w:tcPr>
          <w:p w14:paraId="6EEFD054" w14:textId="07B13DAC" w:rsidR="00143258" w:rsidRPr="00143258" w:rsidRDefault="007059F7">
            <w:pPr>
              <w:tabs>
                <w:tab w:val="left" w:pos="1344"/>
              </w:tabs>
              <w:spacing w:after="0" w:line="240" w:lineRule="auto"/>
              <w:rPr>
                <w:szCs w:val="20"/>
              </w:rPr>
            </w:pPr>
            <w:hyperlink r:id="rId9" w:history="1">
              <w:r w:rsidRPr="008F3079">
                <w:rPr>
                  <w:rStyle w:val="a6"/>
                  <w:szCs w:val="20"/>
                </w:rPr>
                <w:t>https://www.ledesk.co.kr/view.php?uid=15759</w:t>
              </w:r>
            </w:hyperlink>
            <w:r>
              <w:rPr>
                <w:rFonts w:hint="eastAsia"/>
                <w:szCs w:val="20"/>
              </w:rPr>
              <w:t xml:space="preserve"> </w:t>
            </w: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D979" w14:textId="77777777" w:rsidR="007A4A0C" w:rsidRDefault="007A4A0C">
      <w:pPr>
        <w:spacing w:after="0" w:line="240" w:lineRule="auto"/>
      </w:pPr>
      <w:r>
        <w:separator/>
      </w:r>
    </w:p>
  </w:endnote>
  <w:endnote w:type="continuationSeparator" w:id="0">
    <w:p w14:paraId="70AF0761" w14:textId="77777777" w:rsidR="007A4A0C" w:rsidRDefault="007A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E207" w14:textId="77777777" w:rsidR="007A4A0C" w:rsidRDefault="007A4A0C">
      <w:pPr>
        <w:spacing w:after="0" w:line="240" w:lineRule="auto"/>
      </w:pPr>
      <w:r>
        <w:separator/>
      </w:r>
    </w:p>
  </w:footnote>
  <w:footnote w:type="continuationSeparator" w:id="0">
    <w:p w14:paraId="35106B9F" w14:textId="77777777" w:rsidR="007A4A0C" w:rsidRDefault="007A4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03F3D"/>
    <w:rsid w:val="00015F1D"/>
    <w:rsid w:val="00023591"/>
    <w:rsid w:val="000335F3"/>
    <w:rsid w:val="000463AA"/>
    <w:rsid w:val="000C3373"/>
    <w:rsid w:val="000E0280"/>
    <w:rsid w:val="000E715A"/>
    <w:rsid w:val="000F42CE"/>
    <w:rsid w:val="000F4DF6"/>
    <w:rsid w:val="001335E9"/>
    <w:rsid w:val="00143258"/>
    <w:rsid w:val="00144F62"/>
    <w:rsid w:val="00152739"/>
    <w:rsid w:val="0016084D"/>
    <w:rsid w:val="00182353"/>
    <w:rsid w:val="0019309E"/>
    <w:rsid w:val="00197341"/>
    <w:rsid w:val="001A5A39"/>
    <w:rsid w:val="001C7C2B"/>
    <w:rsid w:val="001D4B47"/>
    <w:rsid w:val="001E0AAE"/>
    <w:rsid w:val="001E1365"/>
    <w:rsid w:val="001E1F55"/>
    <w:rsid w:val="001E4496"/>
    <w:rsid w:val="00232A0B"/>
    <w:rsid w:val="002511A7"/>
    <w:rsid w:val="0025432F"/>
    <w:rsid w:val="00262ED9"/>
    <w:rsid w:val="002657E3"/>
    <w:rsid w:val="00272648"/>
    <w:rsid w:val="00276BA9"/>
    <w:rsid w:val="00282BF0"/>
    <w:rsid w:val="002C57AA"/>
    <w:rsid w:val="002E2903"/>
    <w:rsid w:val="00303FB5"/>
    <w:rsid w:val="003170AF"/>
    <w:rsid w:val="00323812"/>
    <w:rsid w:val="0033005E"/>
    <w:rsid w:val="00335470"/>
    <w:rsid w:val="00336261"/>
    <w:rsid w:val="00352414"/>
    <w:rsid w:val="00354EC6"/>
    <w:rsid w:val="00367BC7"/>
    <w:rsid w:val="00372FDA"/>
    <w:rsid w:val="00397978"/>
    <w:rsid w:val="003A320A"/>
    <w:rsid w:val="003F33FC"/>
    <w:rsid w:val="00400558"/>
    <w:rsid w:val="00410133"/>
    <w:rsid w:val="0041031A"/>
    <w:rsid w:val="004217FE"/>
    <w:rsid w:val="00433D8D"/>
    <w:rsid w:val="004503B8"/>
    <w:rsid w:val="00472B55"/>
    <w:rsid w:val="00477DC1"/>
    <w:rsid w:val="004A0F93"/>
    <w:rsid w:val="004E3F37"/>
    <w:rsid w:val="004F1C47"/>
    <w:rsid w:val="005105C8"/>
    <w:rsid w:val="00511454"/>
    <w:rsid w:val="00513FEE"/>
    <w:rsid w:val="00514652"/>
    <w:rsid w:val="005163C5"/>
    <w:rsid w:val="005309D7"/>
    <w:rsid w:val="0053655C"/>
    <w:rsid w:val="00541B96"/>
    <w:rsid w:val="00550E7C"/>
    <w:rsid w:val="00552438"/>
    <w:rsid w:val="005529BF"/>
    <w:rsid w:val="00556A14"/>
    <w:rsid w:val="0058383E"/>
    <w:rsid w:val="005B0118"/>
    <w:rsid w:val="005B36F6"/>
    <w:rsid w:val="005C14A0"/>
    <w:rsid w:val="005C3659"/>
    <w:rsid w:val="005D34D2"/>
    <w:rsid w:val="005F2E71"/>
    <w:rsid w:val="005F319C"/>
    <w:rsid w:val="006044E4"/>
    <w:rsid w:val="006314B0"/>
    <w:rsid w:val="00640CFC"/>
    <w:rsid w:val="00645B35"/>
    <w:rsid w:val="00645FCF"/>
    <w:rsid w:val="00681496"/>
    <w:rsid w:val="00691A8A"/>
    <w:rsid w:val="006A124F"/>
    <w:rsid w:val="006B73EA"/>
    <w:rsid w:val="006C6526"/>
    <w:rsid w:val="006C72FA"/>
    <w:rsid w:val="006D6446"/>
    <w:rsid w:val="006E0360"/>
    <w:rsid w:val="006E12F3"/>
    <w:rsid w:val="007059F7"/>
    <w:rsid w:val="00717106"/>
    <w:rsid w:val="00727CD3"/>
    <w:rsid w:val="00731FA8"/>
    <w:rsid w:val="007439B6"/>
    <w:rsid w:val="007501A9"/>
    <w:rsid w:val="007671A2"/>
    <w:rsid w:val="007678FC"/>
    <w:rsid w:val="00767ECB"/>
    <w:rsid w:val="00772472"/>
    <w:rsid w:val="00775E14"/>
    <w:rsid w:val="007868D4"/>
    <w:rsid w:val="00795A74"/>
    <w:rsid w:val="00796EC5"/>
    <w:rsid w:val="007A219A"/>
    <w:rsid w:val="007A4A0C"/>
    <w:rsid w:val="007A6DCF"/>
    <w:rsid w:val="007B6EE3"/>
    <w:rsid w:val="007C298E"/>
    <w:rsid w:val="007C5A71"/>
    <w:rsid w:val="007E62C0"/>
    <w:rsid w:val="007F1888"/>
    <w:rsid w:val="00802BB5"/>
    <w:rsid w:val="008043EE"/>
    <w:rsid w:val="00823E33"/>
    <w:rsid w:val="0082799C"/>
    <w:rsid w:val="00840E31"/>
    <w:rsid w:val="008412CA"/>
    <w:rsid w:val="0085556C"/>
    <w:rsid w:val="00865F54"/>
    <w:rsid w:val="00890F29"/>
    <w:rsid w:val="009072DA"/>
    <w:rsid w:val="00913856"/>
    <w:rsid w:val="0091712C"/>
    <w:rsid w:val="009256DC"/>
    <w:rsid w:val="00965F52"/>
    <w:rsid w:val="009675ED"/>
    <w:rsid w:val="0096786A"/>
    <w:rsid w:val="00975F3E"/>
    <w:rsid w:val="00983735"/>
    <w:rsid w:val="009A4AB1"/>
    <w:rsid w:val="009A541C"/>
    <w:rsid w:val="009B0FF4"/>
    <w:rsid w:val="009E66D4"/>
    <w:rsid w:val="009F5E30"/>
    <w:rsid w:val="00A114E1"/>
    <w:rsid w:val="00A265EE"/>
    <w:rsid w:val="00A34F8F"/>
    <w:rsid w:val="00A43EB3"/>
    <w:rsid w:val="00A52809"/>
    <w:rsid w:val="00A74199"/>
    <w:rsid w:val="00A87D21"/>
    <w:rsid w:val="00AA6473"/>
    <w:rsid w:val="00AB314C"/>
    <w:rsid w:val="00AC3B8C"/>
    <w:rsid w:val="00AD00A6"/>
    <w:rsid w:val="00AD5905"/>
    <w:rsid w:val="00AE5DDA"/>
    <w:rsid w:val="00B16A96"/>
    <w:rsid w:val="00B2305B"/>
    <w:rsid w:val="00B33690"/>
    <w:rsid w:val="00B43290"/>
    <w:rsid w:val="00B5351A"/>
    <w:rsid w:val="00B65189"/>
    <w:rsid w:val="00B7741F"/>
    <w:rsid w:val="00B8020E"/>
    <w:rsid w:val="00B86F3F"/>
    <w:rsid w:val="00BA2552"/>
    <w:rsid w:val="00BD29B3"/>
    <w:rsid w:val="00BD5AB3"/>
    <w:rsid w:val="00BE01BF"/>
    <w:rsid w:val="00BE4A26"/>
    <w:rsid w:val="00BF207D"/>
    <w:rsid w:val="00C01F43"/>
    <w:rsid w:val="00C13DCE"/>
    <w:rsid w:val="00C1621F"/>
    <w:rsid w:val="00C21A1D"/>
    <w:rsid w:val="00C420ED"/>
    <w:rsid w:val="00C63BB0"/>
    <w:rsid w:val="00C80396"/>
    <w:rsid w:val="00CA6781"/>
    <w:rsid w:val="00CA6AC1"/>
    <w:rsid w:val="00CB53E5"/>
    <w:rsid w:val="00CB66E8"/>
    <w:rsid w:val="00CB6C8A"/>
    <w:rsid w:val="00CD483D"/>
    <w:rsid w:val="00CE4AE0"/>
    <w:rsid w:val="00CF771C"/>
    <w:rsid w:val="00D017D4"/>
    <w:rsid w:val="00D11100"/>
    <w:rsid w:val="00D377AC"/>
    <w:rsid w:val="00D50415"/>
    <w:rsid w:val="00D5606A"/>
    <w:rsid w:val="00D6082C"/>
    <w:rsid w:val="00D60E18"/>
    <w:rsid w:val="00D86031"/>
    <w:rsid w:val="00D86CCB"/>
    <w:rsid w:val="00DA56D7"/>
    <w:rsid w:val="00DB72D6"/>
    <w:rsid w:val="00DC7DB4"/>
    <w:rsid w:val="00DD56F5"/>
    <w:rsid w:val="00DD69D7"/>
    <w:rsid w:val="00DE68C4"/>
    <w:rsid w:val="00E01757"/>
    <w:rsid w:val="00E176C3"/>
    <w:rsid w:val="00E1791D"/>
    <w:rsid w:val="00E30CA7"/>
    <w:rsid w:val="00E51568"/>
    <w:rsid w:val="00E64196"/>
    <w:rsid w:val="00E7274A"/>
    <w:rsid w:val="00E734B6"/>
    <w:rsid w:val="00E77C35"/>
    <w:rsid w:val="00E909C4"/>
    <w:rsid w:val="00E95B29"/>
    <w:rsid w:val="00EA2D62"/>
    <w:rsid w:val="00F0626B"/>
    <w:rsid w:val="00F10A48"/>
    <w:rsid w:val="00F152D2"/>
    <w:rsid w:val="00F206D7"/>
    <w:rsid w:val="00F40701"/>
    <w:rsid w:val="00F42CF5"/>
    <w:rsid w:val="00F64B92"/>
    <w:rsid w:val="00FA0EA2"/>
    <w:rsid w:val="00FA2CF1"/>
    <w:rsid w:val="00FA5DFA"/>
    <w:rsid w:val="00FC681B"/>
    <w:rsid w:val="00FE257E"/>
    <w:rsid w:val="00FE5496"/>
    <w:rsid w:val="00FF435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372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ngmin.com/article/20260522500373" TargetMode="External"/><Relationship Id="rId3" Type="http://schemas.openxmlformats.org/officeDocument/2006/relationships/settings" Target="settings.xml"/><Relationship Id="rId7" Type="http://schemas.openxmlformats.org/officeDocument/2006/relationships/hyperlink" Target="https://www.dginclusion.com/news/articleView.html?idxno=16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desk.co.kr/view.php?uid=15759"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2794</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2025-08-13T11:31:00Z</dcterms:created>
  <dcterms:modified xsi:type="dcterms:W3CDTF">2026-06-19T14:11:00Z</dcterms:modified>
  <cp:version>1100.0100.01</cp:version>
</cp:coreProperties>
</file>