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5231A7">
        <w:trPr>
          <w:trHeight w:val="983"/>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CCDA0E9" w14:textId="0E6F9FD3" w:rsidR="00F607E7" w:rsidRDefault="0075793D">
            <w:pPr>
              <w:rPr>
                <w:szCs w:val="20"/>
              </w:rPr>
            </w:pPr>
            <w:r>
              <w:rPr>
                <w:rFonts w:hint="eastAsia"/>
                <w:szCs w:val="20"/>
              </w:rPr>
              <w:t>25</w:t>
            </w:r>
            <w:r w:rsidR="00092B23">
              <w:rPr>
                <w:rFonts w:hint="eastAsia"/>
                <w:szCs w:val="20"/>
              </w:rPr>
              <w:t>4</w:t>
            </w:r>
            <w:r>
              <w:rPr>
                <w:rFonts w:hint="eastAsia"/>
                <w:szCs w:val="20"/>
              </w:rPr>
              <w:t xml:space="preserve">호 </w:t>
            </w:r>
          </w:p>
          <w:p w14:paraId="36160674" w14:textId="79BDF677" w:rsidR="00AD5905" w:rsidRDefault="00092B23">
            <w:pPr>
              <w:rPr>
                <w:szCs w:val="20"/>
              </w:rPr>
            </w:pPr>
            <w:r>
              <w:rPr>
                <w:rFonts w:hint="eastAsia"/>
                <w:szCs w:val="20"/>
              </w:rPr>
              <w:t>September</w:t>
            </w:r>
            <w:r w:rsidR="00C32095">
              <w:rPr>
                <w:rFonts w:hint="eastAsia"/>
                <w:szCs w:val="20"/>
              </w:rPr>
              <w:t xml:space="preserve"> 202</w:t>
            </w:r>
            <w:r w:rsidR="00CE5221">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12C1C9E5" w:rsidR="0016084D" w:rsidRDefault="00CE5221">
            <w:pPr>
              <w:rPr>
                <w:szCs w:val="20"/>
              </w:rPr>
            </w:pPr>
            <w:r>
              <w:rPr>
                <w:rFonts w:hint="eastAsia"/>
                <w:szCs w:val="20"/>
              </w:rPr>
              <w:t>62</w:t>
            </w:r>
            <w:r>
              <w:rPr>
                <w:szCs w:val="20"/>
              </w:rPr>
              <w:t>기</w:t>
            </w:r>
            <w:r>
              <w:rPr>
                <w:rFonts w:hint="eastAsia"/>
                <w:szCs w:val="20"/>
              </w:rPr>
              <w:t xml:space="preserve"> </w:t>
            </w:r>
            <w:r>
              <w:rPr>
                <w:szCs w:val="20"/>
              </w:rPr>
              <w:t>문화부</w:t>
            </w:r>
            <w:r>
              <w:rPr>
                <w:rFonts w:hint="eastAsia"/>
                <w:szCs w:val="20"/>
              </w:rPr>
              <w:t xml:space="preserve"> </w:t>
            </w:r>
            <w:r>
              <w:rPr>
                <w:szCs w:val="20"/>
              </w:rPr>
              <w:t>기자</w:t>
            </w:r>
            <w:r>
              <w:rPr>
                <w:rFonts w:hint="eastAsia"/>
                <w:szCs w:val="20"/>
              </w:rPr>
              <w:t xml:space="preserve"> </w:t>
            </w:r>
            <w:r w:rsidR="00C32095">
              <w:rPr>
                <w:rFonts w:hint="eastAsia"/>
                <w:szCs w:val="20"/>
              </w:rPr>
              <w:t>김예린</w:t>
            </w:r>
          </w:p>
        </w:tc>
      </w:tr>
      <w:tr w:rsidR="0016084D" w14:paraId="0910E3B5" w14:textId="77777777" w:rsidTr="006575CD">
        <w:trPr>
          <w:trHeight w:val="795"/>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0E99ABF0" w:rsidR="0016084D" w:rsidRDefault="0061325A">
            <w:pPr>
              <w:rPr>
                <w:szCs w:val="20"/>
              </w:rPr>
            </w:pPr>
            <w:r>
              <w:rPr>
                <w:rFonts w:hint="eastAsia"/>
                <w:szCs w:val="20"/>
              </w:rPr>
              <w:t>Culture</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649FFD2C" w:rsidR="002E2903" w:rsidRPr="001C514C" w:rsidRDefault="00910861">
            <w:pPr>
              <w:rPr>
                <w:rFonts w:hint="eastAsia"/>
              </w:rPr>
            </w:pPr>
            <w:r>
              <w:rPr>
                <w:rFonts w:hint="eastAsia"/>
              </w:rPr>
              <w:t>맥락 문화</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545823CC" w:rsidR="001B137B" w:rsidRPr="005F4BEF" w:rsidRDefault="00977669" w:rsidP="0055362E">
            <w:pPr>
              <w:rPr>
                <w:rFonts w:hint="eastAsia"/>
                <w:szCs w:val="20"/>
              </w:rPr>
            </w:pPr>
            <w:r w:rsidRPr="00977669">
              <w:rPr>
                <w:szCs w:val="20"/>
              </w:rPr>
              <w:t>고맥락/저맥락 문화 이론을 바탕으로, 언어가 아닌 소통 방식의 차이가 실제 생활에서 어떻게 작동하는지를 살펴본다. 한국을 포함한 동아시아 고맥락 문화와 서구권 저맥락 문화의 특성을 비교하고, 글로벌 환경에 놓인 독자가 자신의 문화적 소통 습관을 인식하는 계기를 제공하는 것을 목적으로 한다.</w:t>
            </w:r>
            <w:r>
              <w:rPr>
                <w:rFonts w:hint="eastAsia"/>
                <w:szCs w:val="20"/>
              </w:rPr>
              <w:t xml:space="preserve"> </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51F7BDDF" w14:textId="020FD955" w:rsidR="00355321" w:rsidRDefault="00355321" w:rsidP="0033269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(1문단)</w:t>
            </w:r>
          </w:p>
          <w:p w14:paraId="5ED4EB65" w14:textId="27379254" w:rsidR="00F2059F" w:rsidRDefault="00F2059F" w:rsidP="00F2059F">
            <w:pPr>
              <w:spacing w:before="240"/>
              <w:ind w:firstLineChars="100" w:firstLine="200"/>
              <w:rPr>
                <w:rFonts w:ascii="맑은 고딕" w:eastAsia="맑은 고딕" w:hAnsi="맑은 고딕"/>
                <w:color w:val="000000"/>
                <w:szCs w:val="20"/>
                <w:shd w:val="clear" w:color="auto" w:fill="FFFFFF"/>
              </w:rPr>
            </w:pPr>
            <w:r w:rsidRPr="00F2059F">
              <w:rPr>
                <w:rFonts w:ascii="맑은 고딕" w:eastAsia="맑은 고딕" w:hAnsi="맑은 고딕"/>
                <w:color w:val="000000"/>
                <w:szCs w:val="20"/>
                <w:shd w:val="clear" w:color="auto" w:fill="FFFFFF"/>
              </w:rPr>
              <w:t>영국 런던에 거주하는 대한민국 출신 모델 겸 인플루언서 '명예영국인'은 46.9만 명의 구독자를 보유한 유튜버다. 영국에서의 실제 생활을 바탕으로 영국식 영어와 현지 문화를 유쾌하게 소개하는 콘텐츠로 인기를 얻고 있는 그는, 최근 쇼츠 영상에서 영국의 공공장소 에티켓을 소개하며 흥미로운 지점을 짚었다. 영국에서 길을 걷다 담배 연기가 코를 찌를 때, 불쾌한 표정을 짓거나 기침을 하면 안 된다는 것이다. 한국이라면 그냥 넘어갈 수 있을 법한 상황이지만, 영국에서는 그 반응 자체가 오히려 실례가 된다. 단순한 매너의 차이처럼 보이지만, 이 에피소드는 훨씬 근본적인 질문을 건드린다. 언어가 같아도, 혹은 언어가 달라도, 우리는 정말 같은 방식으로 소통하고 있는가?</w:t>
            </w:r>
            <w:r>
              <w:rPr>
                <w:rFonts w:ascii="맑은 고딕" w:eastAsia="맑은 고딕" w:hAnsi="맑은 고딕" w:hint="eastAsia"/>
                <w:color w:val="000000"/>
                <w:szCs w:val="20"/>
                <w:shd w:val="clear" w:color="auto" w:fill="FFFFFF"/>
              </w:rPr>
              <w:t xml:space="preserve"> </w:t>
            </w:r>
          </w:p>
          <w:p w14:paraId="7921C0B4" w14:textId="697CD2CA" w:rsidR="00F2059F" w:rsidRPr="00F2059F" w:rsidRDefault="00F2059F" w:rsidP="00F2059F">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(2문단)</w:t>
            </w:r>
          </w:p>
          <w:p w14:paraId="2AA9D5B7" w14:textId="559ABF9F" w:rsidR="00E4234E" w:rsidRDefault="00E4234E" w:rsidP="00E4234E">
            <w:pPr>
              <w:spacing w:before="240"/>
              <w:rPr>
                <w:rFonts w:ascii="맑은 고딕" w:eastAsia="맑은 고딕" w:hAnsi="맑은 고딕"/>
                <w:color w:val="000000"/>
                <w:szCs w:val="20"/>
                <w:shd w:val="clear" w:color="auto" w:fill="FFFFFF"/>
              </w:rPr>
            </w:pPr>
            <w:r w:rsidRPr="00E4234E">
              <w:rPr>
                <w:rFonts w:ascii="맑은 고딕" w:eastAsia="맑은 고딕" w:hAnsi="맑은 고딕"/>
                <w:color w:val="000000"/>
                <w:szCs w:val="20"/>
                <w:shd w:val="clear" w:color="auto" w:fill="FFFFFF"/>
              </w:rPr>
              <w:t xml:space="preserve">문화인류학자 에드워드 T. 홀(Edward T. Hall)은 저서 </w:t>
            </w:r>
            <w:r w:rsidRPr="00E4234E">
              <w:rPr>
                <w:rFonts w:ascii="맑은 고딕" w:eastAsia="맑은 고딕" w:hAnsi="맑은 고딕"/>
                <w:i/>
                <w:iCs/>
                <w:color w:val="000000"/>
                <w:szCs w:val="20"/>
                <w:shd w:val="clear" w:color="auto" w:fill="FFFFFF"/>
              </w:rPr>
              <w:t>Beyond Culture</w:t>
            </w:r>
            <w:r w:rsidR="00F2059F">
              <w:rPr>
                <w:rFonts w:ascii="맑은 고딕" w:eastAsia="맑은 고딕" w:hAnsi="맑은 고딕" w:hint="eastAsia"/>
                <w:i/>
                <w:iCs/>
                <w:color w:val="000000"/>
                <w:szCs w:val="20"/>
                <w:shd w:val="clear" w:color="auto" w:fill="FFFFFF"/>
              </w:rPr>
              <w:t xml:space="preserve"> </w:t>
            </w:r>
            <w:r w:rsidRPr="00E4234E">
              <w:rPr>
                <w:rFonts w:ascii="맑은 고딕" w:eastAsia="맑은 고딕" w:hAnsi="맑은 고딕"/>
                <w:color w:val="000000"/>
                <w:szCs w:val="20"/>
                <w:shd w:val="clear" w:color="auto" w:fill="FFFFFF"/>
              </w:rPr>
              <w:t>(1976)에서 문화를 소통 방식에 따라 두 가지로 나</w:t>
            </w:r>
            <w:r w:rsidR="00F2059F">
              <w:rPr>
                <w:rFonts w:ascii="맑은 고딕" w:eastAsia="맑은 고딕" w:hAnsi="맑은 고딕" w:hint="eastAsia"/>
                <w:color w:val="000000"/>
                <w:szCs w:val="20"/>
                <w:shd w:val="clear" w:color="auto" w:fill="FFFFFF"/>
              </w:rPr>
              <w:t>눠 설명한</w:t>
            </w:r>
            <w:r w:rsidRPr="00E4234E">
              <w:rPr>
                <w:rFonts w:ascii="맑은 고딕" w:eastAsia="맑은 고딕" w:hAnsi="맑은 고딕"/>
                <w:color w:val="000000"/>
                <w:szCs w:val="20"/>
                <w:shd w:val="clear" w:color="auto" w:fill="FFFFFF"/>
              </w:rPr>
              <w:t>다. 말해지지 않은 것, 즉 맥락</w:t>
            </w:r>
            <w:r w:rsidR="00F2059F">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분위기</w:t>
            </w:r>
            <w:r w:rsidR="00F2059F">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관계가 소통의 대부분을 차지하는 고맥락 문화(High-Context Culture)와, 언어적 표현 그 자체가 소통의 전부인 저맥락 문화(Low-Context Culture)</w:t>
            </w:r>
            <w:r w:rsidR="00F2059F">
              <w:rPr>
                <w:rFonts w:ascii="맑은 고딕" w:eastAsia="맑은 고딕" w:hAnsi="맑은 고딕" w:hint="eastAsia"/>
                <w:color w:val="000000"/>
                <w:szCs w:val="20"/>
                <w:shd w:val="clear" w:color="auto" w:fill="FFFFFF"/>
              </w:rPr>
              <w:t>이</w:t>
            </w:r>
            <w:r w:rsidRPr="00E4234E">
              <w:rPr>
                <w:rFonts w:ascii="맑은 고딕" w:eastAsia="맑은 고딕" w:hAnsi="맑은 고딕"/>
                <w:color w:val="000000"/>
                <w:szCs w:val="20"/>
                <w:shd w:val="clear" w:color="auto" w:fill="FFFFFF"/>
              </w:rPr>
              <w:t>다. 전자는 주로 동아시아</w:t>
            </w:r>
            <w:r w:rsidR="00F2059F">
              <w:rPr>
                <w:rFonts w:ascii="맑은 고딕" w:eastAsia="맑은 고딕" w:hAnsi="맑은 고딕" w:hint="eastAsia"/>
                <w:color w:val="000000"/>
                <w:szCs w:val="20"/>
                <w:shd w:val="clear" w:color="auto" w:fill="FFFFFF"/>
              </w:rPr>
              <w:t>, 중</w:t>
            </w:r>
            <w:r w:rsidRPr="00E4234E">
              <w:rPr>
                <w:rFonts w:ascii="맑은 고딕" w:eastAsia="맑은 고딕" w:hAnsi="맑은 고딕"/>
                <w:color w:val="000000"/>
                <w:szCs w:val="20"/>
                <w:shd w:val="clear" w:color="auto" w:fill="FFFFFF"/>
              </w:rPr>
              <w:t>동</w:t>
            </w:r>
            <w:r w:rsidR="00F2059F">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라틴아메리카 문화권에, 후자는 북미</w:t>
            </w:r>
            <w:r w:rsidR="00F2059F">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북유럽 등 서구권에 해당한다. 언어보다 맥락이 먼저인가, 맥락보다 언어가 먼저인가. 이 차이는 생각보다 훨씬 넓은 간극을 만들어낸다.</w:t>
            </w:r>
            <w:r w:rsidR="00F2059F">
              <w:rPr>
                <w:rFonts w:ascii="맑은 고딕" w:eastAsia="맑은 고딕" w:hAnsi="맑은 고딕" w:hint="eastAsia"/>
                <w:color w:val="000000"/>
                <w:szCs w:val="20"/>
                <w:shd w:val="clear" w:color="auto" w:fill="FFFFFF"/>
              </w:rPr>
              <w:t xml:space="preserve"> </w:t>
            </w:r>
          </w:p>
          <w:p w14:paraId="2CB34DEA" w14:textId="0A73C4F9" w:rsidR="00441DCC" w:rsidRPr="00E4234E" w:rsidRDefault="00441DCC" w:rsidP="00E4234E">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(3문단)</w:t>
            </w:r>
          </w:p>
          <w:p w14:paraId="50789975" w14:textId="4DB6F55A" w:rsidR="00E4234E" w:rsidRDefault="00E4234E" w:rsidP="00E4234E">
            <w:pPr>
              <w:spacing w:before="240"/>
              <w:rPr>
                <w:rFonts w:ascii="맑은 고딕" w:eastAsia="맑은 고딕" w:hAnsi="맑은 고딕"/>
                <w:color w:val="000000"/>
                <w:szCs w:val="20"/>
                <w:shd w:val="clear" w:color="auto" w:fill="FFFFFF"/>
              </w:rPr>
            </w:pPr>
            <w:r w:rsidRPr="00E4234E">
              <w:rPr>
                <w:rFonts w:ascii="맑은 고딕" w:eastAsia="맑은 고딕" w:hAnsi="맑은 고딕"/>
                <w:color w:val="000000"/>
                <w:szCs w:val="20"/>
                <w:shd w:val="clear" w:color="auto" w:fill="FFFFFF"/>
              </w:rPr>
              <w:lastRenderedPageBreak/>
              <w:t>한국</w:t>
            </w:r>
            <w:r w:rsidR="00441DCC">
              <w:rPr>
                <w:rFonts w:ascii="맑은 고딕" w:eastAsia="맑은 고딕" w:hAnsi="맑은 고딕" w:hint="eastAsia"/>
                <w:color w:val="000000"/>
                <w:szCs w:val="20"/>
                <w:shd w:val="clear" w:color="auto" w:fill="FFFFFF"/>
              </w:rPr>
              <w:t>도</w:t>
            </w:r>
            <w:r w:rsidRPr="00E4234E">
              <w:rPr>
                <w:rFonts w:ascii="맑은 고딕" w:eastAsia="맑은 고딕" w:hAnsi="맑은 고딕"/>
                <w:color w:val="000000"/>
                <w:szCs w:val="20"/>
                <w:shd w:val="clear" w:color="auto" w:fill="FFFFFF"/>
              </w:rPr>
              <w:t xml:space="preserve"> 고맥락 문화의 대표적인 사례다. 네덜란드 심리학자 홉스테드(Geert Hofstede)의 6가지 문화 차원 이론에 따르면, 한국의 개인주의 지수는 18로 집단주의 성향이 82에 달한다. 집단주의 문화에서는 '우리'가 '나'보다 앞서며, 직접적인 표현보다 관계와 맥락을 고려한 우회적 소통이 기본값이 된다. 이 문화 안에서 사회생활을 한다는 것은 곧 암묵적 규범과 분위기, 그리고 '눈치'를 끊임없이 읽어내는 일이다. 흥미로운 점은, '눈치'라는 단어가 영어로 정확하게 번역되는 단어가 존재하지 않는다는 것이다. 일본어에도 유사한 개념으로 </w:t>
            </w:r>
            <w:r w:rsidR="00A239E3">
              <w:rPr>
                <w:rFonts w:ascii="맑은 고딕" w:eastAsia="맑은 고딕" w:hAnsi="맑은 고딕"/>
                <w:color w:val="000000"/>
                <w:szCs w:val="20"/>
                <w:shd w:val="clear" w:color="auto" w:fill="FFFFFF"/>
              </w:rPr>
              <w:t>‘</w:t>
            </w:r>
            <w:r w:rsidRPr="00E4234E">
              <w:rPr>
                <w:rFonts w:ascii="맑은 고딕" w:eastAsia="맑은 고딕" w:hAnsi="맑은 고딕"/>
                <w:color w:val="000000"/>
                <w:szCs w:val="20"/>
                <w:shd w:val="clear" w:color="auto" w:fill="FFFFFF"/>
              </w:rPr>
              <w:t>공기를 읽는다(空</w:t>
            </w:r>
            <w:r w:rsidRPr="00E4234E">
              <w:rPr>
                <w:rFonts w:ascii="Noto Sans KR" w:eastAsia="Noto Sans KR" w:hAnsi="Noto Sans KR" w:cs="Noto Sans KR" w:hint="eastAsia"/>
                <w:color w:val="000000"/>
                <w:szCs w:val="20"/>
                <w:shd w:val="clear" w:color="auto" w:fill="FFFFFF"/>
              </w:rPr>
              <w:t>気</w:t>
            </w:r>
            <w:r w:rsidRPr="00E4234E">
              <w:rPr>
                <w:rFonts w:ascii="맑은 고딕" w:eastAsia="맑은 고딕" w:hAnsi="맑은 고딕" w:cs="맑은 고딕" w:hint="eastAsia"/>
                <w:color w:val="000000"/>
                <w:szCs w:val="20"/>
                <w:shd w:val="clear" w:color="auto" w:fill="FFFFFF"/>
              </w:rPr>
              <w:t>を</w:t>
            </w:r>
            <w:r w:rsidRPr="00E4234E">
              <w:rPr>
                <w:rFonts w:ascii="MS Mincho" w:eastAsia="MS Mincho" w:hAnsi="MS Mincho" w:cs="MS Mincho" w:hint="eastAsia"/>
                <w:color w:val="000000"/>
                <w:szCs w:val="20"/>
                <w:shd w:val="clear" w:color="auto" w:fill="FFFFFF"/>
              </w:rPr>
              <w:t>読</w:t>
            </w:r>
            <w:r w:rsidRPr="00E4234E">
              <w:rPr>
                <w:rFonts w:ascii="맑은 고딕" w:eastAsia="맑은 고딕" w:hAnsi="맑은 고딕" w:cs="맑은 고딕" w:hint="eastAsia"/>
                <w:color w:val="000000"/>
                <w:szCs w:val="20"/>
                <w:shd w:val="clear" w:color="auto" w:fill="FFFFFF"/>
              </w:rPr>
              <w:t>む</w:t>
            </w:r>
            <w:r w:rsidRPr="00E4234E">
              <w:rPr>
                <w:rFonts w:ascii="맑은 고딕" w:eastAsia="맑은 고딕" w:hAnsi="맑은 고딕"/>
                <w:color w:val="000000"/>
                <w:szCs w:val="20"/>
                <w:shd w:val="clear" w:color="auto" w:fill="FFFFFF"/>
              </w:rPr>
              <w:t>)</w:t>
            </w:r>
            <w:r w:rsidR="00A239E3">
              <w:rPr>
                <w:rFonts w:ascii="맑은 고딕" w:eastAsia="맑은 고딕" w:hAnsi="맑은 고딕"/>
                <w:color w:val="000000"/>
                <w:szCs w:val="20"/>
                <w:shd w:val="clear" w:color="auto" w:fill="FFFFFF"/>
              </w:rPr>
              <w:t>’</w:t>
            </w:r>
            <w:r w:rsidRPr="00E4234E">
              <w:rPr>
                <w:rFonts w:ascii="맑은 고딕" w:eastAsia="맑은 고딕" w:hAnsi="맑은 고딕"/>
                <w:color w:val="000000"/>
                <w:szCs w:val="20"/>
                <w:shd w:val="clear" w:color="auto" w:fill="FFFFFF"/>
              </w:rPr>
              <w:t>는 표현이 있을 만큼, 동아시아 고맥락 문화권에서 이 감각은 언어 이전의 사회적 생존 기술에 가깝다.</w:t>
            </w:r>
          </w:p>
          <w:p w14:paraId="745301DB" w14:textId="1C34D195" w:rsidR="00441DCC" w:rsidRPr="00E4234E" w:rsidRDefault="00441DCC" w:rsidP="00E4234E">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(4문단)</w:t>
            </w:r>
          </w:p>
          <w:p w14:paraId="244293D9" w14:textId="77777777" w:rsidR="007A0E7E" w:rsidRDefault="00E4234E" w:rsidP="00E4234E">
            <w:pPr>
              <w:spacing w:before="240"/>
              <w:rPr>
                <w:rFonts w:ascii="맑은 고딕" w:eastAsia="맑은 고딕" w:hAnsi="맑은 고딕"/>
                <w:color w:val="000000"/>
                <w:szCs w:val="20"/>
                <w:shd w:val="clear" w:color="auto" w:fill="FFFFFF"/>
              </w:rPr>
            </w:pPr>
            <w:r w:rsidRPr="00E4234E">
              <w:rPr>
                <w:rFonts w:ascii="맑은 고딕" w:eastAsia="맑은 고딕" w:hAnsi="맑은 고딕"/>
                <w:color w:val="000000"/>
                <w:szCs w:val="20"/>
                <w:shd w:val="clear" w:color="auto" w:fill="FFFFFF"/>
              </w:rPr>
              <w:t xml:space="preserve">반면 저맥락 문화권에서는 표현 자체가 능력이다. 서구권 교실에서는 어릴 때부터 자신의 의견을 말하는 것이 당연한 훈련으로 자리잡는다. 교수가 질문을 던졌을 때, 그 대답은 평가받아야 할 정답이 아니라 개인의 의견으로서 그 자체로 존중받는다. 틀려도 괜찮고, 말하지 않는 것이 오히려 이상한 분위기다. 우리 학교에 개설된 교환학생 대상 원어 수업에서도 이 차이는 선명하게 드러난다고 한다. </w:t>
            </w:r>
          </w:p>
          <w:p w14:paraId="46B6E2F8" w14:textId="67192F74" w:rsidR="007A0E7E" w:rsidRDefault="00441DCC" w:rsidP="00E4234E">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(5문단 </w:t>
            </w:r>
            <w:r>
              <w:rPr>
                <w:rFonts w:ascii="맑은 고딕" w:eastAsia="맑은 고딕" w:hAnsi="맑은 고딕"/>
                <w:color w:val="000000"/>
                <w:szCs w:val="20"/>
                <w:shd w:val="clear" w:color="auto" w:fill="FFFFFF"/>
              </w:rPr>
              <w:t>–</w:t>
            </w:r>
            <w:r>
              <w:rPr>
                <w:rFonts w:ascii="맑은 고딕" w:eastAsia="맑은 고딕" w:hAnsi="맑은 고딕" w:hint="eastAsia"/>
                <w:color w:val="000000"/>
                <w:szCs w:val="20"/>
                <w:shd w:val="clear" w:color="auto" w:fill="FFFFFF"/>
              </w:rPr>
              <w:t xml:space="preserve"> 또는 인터뷰 내용 추가 예정 부분)</w:t>
            </w:r>
          </w:p>
          <w:p w14:paraId="3DA3FE63" w14:textId="2470A1AE" w:rsidR="00E4234E" w:rsidRDefault="00441DCC" w:rsidP="00E4234E">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E4234E" w:rsidRPr="007A0E7E">
              <w:rPr>
                <w:rFonts w:ascii="맑은 고딕" w:eastAsia="맑은 고딕" w:hAnsi="맑은 고딕"/>
                <w:color w:val="000000"/>
                <w:szCs w:val="20"/>
                <w:shd w:val="clear" w:color="auto" w:fill="FFFFFF"/>
              </w:rPr>
              <w:t>원어 수업 수강 경험이 있는 학생 1~2명, 해외 거주</w:t>
            </w:r>
            <w:r>
              <w:rPr>
                <w:rFonts w:ascii="맑은 고딕" w:eastAsia="맑은 고딕" w:hAnsi="맑은 고딕" w:hint="eastAsia"/>
                <w:color w:val="000000"/>
                <w:szCs w:val="20"/>
                <w:shd w:val="clear" w:color="auto" w:fill="FFFFFF"/>
              </w:rPr>
              <w:t>/</w:t>
            </w:r>
            <w:r w:rsidR="00E4234E" w:rsidRPr="007A0E7E">
              <w:rPr>
                <w:rFonts w:ascii="맑은 고딕" w:eastAsia="맑은 고딕" w:hAnsi="맑은 고딕"/>
                <w:color w:val="000000"/>
                <w:szCs w:val="20"/>
                <w:shd w:val="clear" w:color="auto" w:fill="FFFFFF"/>
              </w:rPr>
              <w:t>유학 경험자 1명 — 수업 분위기 차이, 소통 방식에서 당황했던 순간 중심으로</w:t>
            </w:r>
            <w:r>
              <w:rPr>
                <w:rFonts w:ascii="맑은 고딕" w:eastAsia="맑은 고딕" w:hAnsi="맑은 고딕" w:hint="eastAsia"/>
                <w:color w:val="000000"/>
                <w:szCs w:val="20"/>
                <w:shd w:val="clear" w:color="auto" w:fill="FFFFFF"/>
              </w:rPr>
              <w:t>)</w:t>
            </w:r>
            <w:r w:rsidR="008A372B">
              <w:rPr>
                <w:rFonts w:ascii="맑은 고딕" w:eastAsia="맑은 고딕" w:hAnsi="맑은 고딕" w:hint="eastAsia"/>
                <w:color w:val="000000"/>
                <w:szCs w:val="20"/>
                <w:shd w:val="clear" w:color="auto" w:fill="FFFFFF"/>
              </w:rPr>
              <w:t xml:space="preserve"> </w:t>
            </w:r>
          </w:p>
          <w:p w14:paraId="1D091BCF" w14:textId="0C1C28A7" w:rsidR="008A372B" w:rsidRPr="00E4234E" w:rsidRDefault="008A372B" w:rsidP="00E4234E">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(6문단)</w:t>
            </w:r>
          </w:p>
          <w:p w14:paraId="5762F07C" w14:textId="2D232A8D" w:rsidR="00E4234E" w:rsidRDefault="00E4234E" w:rsidP="00E4234E">
            <w:pPr>
              <w:spacing w:before="240"/>
              <w:rPr>
                <w:rFonts w:ascii="맑은 고딕" w:eastAsia="맑은 고딕" w:hAnsi="맑은 고딕"/>
                <w:color w:val="000000"/>
                <w:szCs w:val="20"/>
                <w:shd w:val="clear" w:color="auto" w:fill="FFFFFF"/>
              </w:rPr>
            </w:pPr>
            <w:r w:rsidRPr="00E4234E">
              <w:rPr>
                <w:rFonts w:ascii="맑은 고딕" w:eastAsia="맑은 고딕" w:hAnsi="맑은 고딕"/>
                <w:color w:val="000000"/>
                <w:szCs w:val="20"/>
                <w:shd w:val="clear" w:color="auto" w:fill="FFFFFF"/>
              </w:rPr>
              <w:t>두 문화 중 어느 쪽이 우월한가</w:t>
            </w:r>
            <w:r w:rsidR="00FB5CA1">
              <w:rPr>
                <w:rFonts w:ascii="맑은 고딕" w:eastAsia="맑은 고딕" w:hAnsi="맑은 고딕" w:hint="eastAsia"/>
                <w:color w:val="000000"/>
                <w:szCs w:val="20"/>
                <w:shd w:val="clear" w:color="auto" w:fill="FFFFFF"/>
              </w:rPr>
              <w:t xml:space="preserve"> 또는 더 유용한가,</w:t>
            </w:r>
            <w:r w:rsidRPr="00E4234E">
              <w:rPr>
                <w:rFonts w:ascii="맑은 고딕" w:eastAsia="맑은 고딕" w:hAnsi="맑은 고딕"/>
                <w:color w:val="000000"/>
                <w:szCs w:val="20"/>
                <w:shd w:val="clear" w:color="auto" w:fill="FFFFFF"/>
              </w:rPr>
              <w:t xml:space="preserve"> 라는 질문은 처음부터 잘못된 질문이다. 고맥락 문화는 배려</w:t>
            </w:r>
            <w:r w:rsidR="008A372B">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조화</w:t>
            </w:r>
            <w:r w:rsidR="008A372B">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섬세함을 소통의 덕목으로 삼는다. 말하지 않아도 서로를 이해하는 감각, 관계를 해치지 않으면서 의사를 전달하는 기술은 그 자체로 고도의 사회적 능력이다. 저맥락 문화는 명확함</w:t>
            </w:r>
            <w:r w:rsidR="008A372B">
              <w:rPr>
                <w:rFonts w:ascii="맑은 고딕" w:eastAsia="맑은 고딕" w:hAnsi="맑은 고딕" w:hint="eastAsia"/>
                <w:color w:val="000000"/>
                <w:szCs w:val="20"/>
                <w:shd w:val="clear" w:color="auto" w:fill="FFFFFF"/>
              </w:rPr>
              <w:t xml:space="preserve">, </w:t>
            </w:r>
            <w:r w:rsidRPr="00E4234E">
              <w:rPr>
                <w:rFonts w:ascii="맑은 고딕" w:eastAsia="맑은 고딕" w:hAnsi="맑은 고딕"/>
                <w:color w:val="000000"/>
                <w:szCs w:val="20"/>
                <w:shd w:val="clear" w:color="auto" w:fill="FFFFFF"/>
              </w:rPr>
              <w:t>효율성</w:t>
            </w:r>
            <w:r w:rsidR="008A372B">
              <w:rPr>
                <w:rFonts w:ascii="맑은 고딕" w:eastAsia="맑은 고딕" w:hAnsi="맑은 고딕" w:hint="eastAsia"/>
                <w:color w:val="000000"/>
                <w:szCs w:val="20"/>
                <w:shd w:val="clear" w:color="auto" w:fill="FFFFFF"/>
              </w:rPr>
              <w:t xml:space="preserve"> 그리고 </w:t>
            </w:r>
            <w:r w:rsidRPr="00E4234E">
              <w:rPr>
                <w:rFonts w:ascii="맑은 고딕" w:eastAsia="맑은 고딕" w:hAnsi="맑은 고딕"/>
                <w:color w:val="000000"/>
                <w:szCs w:val="20"/>
                <w:shd w:val="clear" w:color="auto" w:fill="FFFFFF"/>
              </w:rPr>
              <w:t>자율성을 강점으로 갖는다. 오해의 여지를 줄이고, 개인의 의사를 투명하게 드러내는 방식은 다양한 배경의 사람들이 모인 공간에서 특히 강력하게 작동한다.</w:t>
            </w:r>
            <w:r w:rsidR="008A372B">
              <w:rPr>
                <w:rFonts w:ascii="맑은 고딕" w:eastAsia="맑은 고딕" w:hAnsi="맑은 고딕" w:hint="eastAsia"/>
                <w:color w:val="000000"/>
                <w:szCs w:val="20"/>
                <w:shd w:val="clear" w:color="auto" w:fill="FFFFFF"/>
              </w:rPr>
              <w:t xml:space="preserve"> </w:t>
            </w:r>
          </w:p>
          <w:p w14:paraId="0E1720AF" w14:textId="29560FC6" w:rsidR="008A372B" w:rsidRPr="00E4234E" w:rsidRDefault="008A372B" w:rsidP="00E4234E">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(7문단)</w:t>
            </w:r>
          </w:p>
          <w:p w14:paraId="6EFC881C" w14:textId="03D7404F" w:rsidR="00913DF5" w:rsidRPr="007F25BE" w:rsidRDefault="00E4234E" w:rsidP="008A372B">
            <w:pPr>
              <w:spacing w:before="240"/>
              <w:rPr>
                <w:rFonts w:ascii="맑은 고딕" w:eastAsia="맑은 고딕" w:hAnsi="맑은 고딕" w:hint="eastAsia"/>
                <w:color w:val="000000"/>
                <w:szCs w:val="20"/>
                <w:shd w:val="clear" w:color="auto" w:fill="FFFFFF"/>
              </w:rPr>
            </w:pPr>
            <w:r w:rsidRPr="00E4234E">
              <w:rPr>
                <w:rFonts w:ascii="맑은 고딕" w:eastAsia="맑은 고딕" w:hAnsi="맑은 고딕"/>
                <w:color w:val="000000"/>
                <w:szCs w:val="20"/>
                <w:shd w:val="clear" w:color="auto" w:fill="FFFFFF"/>
              </w:rPr>
              <w:t>글로벌화된 사회에서, 우리는 점점 더 다른 맥락 문화를 가진 사람들과 같은 공간에 놓인다. 강의실에서, 캠퍼스에서, 그리고 직장에서. 중요한 것은 먼저 자신이 어떤 문화적 습관 위에 서 있는지를 인식하는 것이다. 그 인식 위에서, 상대방의 다른 표현 방식이 '이상한 것'이 아니라 '다른 맥락'에서 비롯된 것임을 받아들일 수 있다. 두 맥락 문화의 장점을 모두 사회적 기술로 갖추는 것은 분명 쉽지 않은 일</w:t>
            </w:r>
            <w:r w:rsidRPr="00E4234E">
              <w:rPr>
                <w:rFonts w:ascii="맑은 고딕" w:eastAsia="맑은 고딕" w:hAnsi="맑은 고딕"/>
                <w:color w:val="000000"/>
                <w:szCs w:val="20"/>
                <w:shd w:val="clear" w:color="auto" w:fill="FFFFFF"/>
              </w:rPr>
              <w:lastRenderedPageBreak/>
              <w:t>이다. 그러나 그 방향으로의 태도와 인식이, 더 원활한 소통이 오가는 글로벌 캠퍼스와 사회를 만드는 첫걸음이 될 것이다.</w:t>
            </w:r>
          </w:p>
        </w:tc>
      </w:tr>
      <w:tr w:rsidR="00FA5DFA" w14:paraId="3B76DDD9" w14:textId="77777777" w:rsidTr="00E25DC1">
        <w:trPr>
          <w:trHeight w:val="541"/>
        </w:trPr>
        <w:tc>
          <w:tcPr>
            <w:tcW w:w="1195" w:type="dxa"/>
            <w:vMerge w:val="restart"/>
          </w:tcPr>
          <w:p w14:paraId="06BDB15C" w14:textId="77777777" w:rsidR="00FA5DFA" w:rsidRDefault="00FA5DFA">
            <w:pPr>
              <w:jc w:val="center"/>
              <w:rPr>
                <w:b/>
                <w:sz w:val="22"/>
              </w:rPr>
            </w:pPr>
            <w:r>
              <w:rPr>
                <w:rFonts w:hint="eastAsia"/>
                <w:b/>
                <w:sz w:val="22"/>
              </w:rPr>
              <w:lastRenderedPageBreak/>
              <w:t>D</w:t>
            </w:r>
            <w:r>
              <w:rPr>
                <w:b/>
                <w:sz w:val="22"/>
              </w:rPr>
              <w:t xml:space="preserve">ata </w:t>
            </w:r>
          </w:p>
          <w:p w14:paraId="3649B871" w14:textId="77777777" w:rsidR="00FA5DFA" w:rsidRDefault="00FA5DFA">
            <w:pPr>
              <w:jc w:val="center"/>
              <w:rPr>
                <w:b/>
                <w:sz w:val="22"/>
              </w:rPr>
            </w:pPr>
            <w:r>
              <w:rPr>
                <w:b/>
                <w:sz w:val="22"/>
              </w:rPr>
              <w:t>Source</w:t>
            </w:r>
          </w:p>
        </w:tc>
        <w:tc>
          <w:tcPr>
            <w:tcW w:w="7821" w:type="dxa"/>
          </w:tcPr>
          <w:p w14:paraId="32567FF0" w14:textId="464A6413" w:rsidR="00FA5DFA" w:rsidRPr="00360401" w:rsidRDefault="00157858" w:rsidP="00E93A32">
            <w:pPr>
              <w:rPr>
                <w:rFonts w:hint="eastAsia"/>
              </w:rPr>
            </w:pPr>
            <w:hyperlink r:id="rId7" w:history="1">
              <w:r w:rsidRPr="00D5328C">
                <w:rPr>
                  <w:rStyle w:val="a6"/>
                </w:rPr>
                <w:t>https://www.the-pr.co.kr/news/articleView.html?idxno=50468</w:t>
              </w:r>
            </w:hyperlink>
            <w:r>
              <w:rPr>
                <w:rFonts w:hint="eastAsia"/>
              </w:rPr>
              <w:t xml:space="preserve"> </w:t>
            </w:r>
          </w:p>
        </w:tc>
      </w:tr>
      <w:tr w:rsidR="00FA5DFA" w14:paraId="0B075432" w14:textId="77777777" w:rsidTr="00D354E1">
        <w:trPr>
          <w:trHeight w:val="588"/>
        </w:trPr>
        <w:tc>
          <w:tcPr>
            <w:tcW w:w="1195" w:type="dxa"/>
            <w:vMerge/>
          </w:tcPr>
          <w:p w14:paraId="5A29A87E" w14:textId="77777777" w:rsidR="00FA5DFA" w:rsidRDefault="00FA5DFA">
            <w:pPr>
              <w:jc w:val="center"/>
              <w:rPr>
                <w:b/>
                <w:sz w:val="22"/>
              </w:rPr>
            </w:pPr>
          </w:p>
        </w:tc>
        <w:tc>
          <w:tcPr>
            <w:tcW w:w="7821" w:type="dxa"/>
          </w:tcPr>
          <w:p w14:paraId="13ADBBB9" w14:textId="6D76EF2E" w:rsidR="00FA5DFA" w:rsidRPr="00FC78E2" w:rsidRDefault="00F3351A" w:rsidP="00F30138">
            <w:pPr>
              <w:tabs>
                <w:tab w:val="left" w:pos="4962"/>
              </w:tabs>
            </w:pPr>
            <w:hyperlink r:id="rId8" w:history="1">
              <w:r w:rsidRPr="00D5328C">
                <w:rPr>
                  <w:rStyle w:val="a6"/>
                </w:rPr>
                <w:t>https://slredglobalhealth.wordpress.com/wp-content/uploads/2011/03/beyond-cultur</w:t>
              </w:r>
              <w:r w:rsidRPr="00D5328C">
                <w:rPr>
                  <w:rStyle w:val="a6"/>
                </w:rPr>
                <w:t>e</w:t>
              </w:r>
              <w:r w:rsidRPr="00D5328C">
                <w:rPr>
                  <w:rStyle w:val="a6"/>
                </w:rPr>
                <w:t>.pdf</w:t>
              </w:r>
            </w:hyperlink>
          </w:p>
        </w:tc>
      </w:tr>
      <w:tr w:rsidR="00FA5DFA" w14:paraId="36417B34" w14:textId="77777777" w:rsidTr="00F61007">
        <w:trPr>
          <w:trHeight w:val="588"/>
        </w:trPr>
        <w:tc>
          <w:tcPr>
            <w:tcW w:w="1195" w:type="dxa"/>
            <w:vMerge/>
          </w:tcPr>
          <w:p w14:paraId="2E30BF66" w14:textId="77777777" w:rsidR="00FA5DFA" w:rsidRDefault="00FA5DFA">
            <w:pPr>
              <w:jc w:val="center"/>
              <w:rPr>
                <w:b/>
                <w:sz w:val="22"/>
              </w:rPr>
            </w:pPr>
          </w:p>
        </w:tc>
        <w:tc>
          <w:tcPr>
            <w:tcW w:w="7821" w:type="dxa"/>
          </w:tcPr>
          <w:p w14:paraId="62DC3DF3" w14:textId="019F77DC" w:rsidR="00FA5DFA" w:rsidRPr="00F30138" w:rsidRDefault="00F3351A" w:rsidP="00F30138">
            <w:pPr>
              <w:tabs>
                <w:tab w:val="left" w:pos="4962"/>
              </w:tabs>
            </w:pPr>
            <w:hyperlink r:id="rId9" w:history="1">
              <w:r w:rsidRPr="00D5328C">
                <w:rPr>
                  <w:rStyle w:val="a6"/>
                </w:rPr>
                <w:t>https://brunch.co.kr/@freevaccine/76</w:t>
              </w:r>
            </w:hyperlink>
            <w:r>
              <w:rPr>
                <w:rFonts w:hint="eastAsia"/>
              </w:rPr>
              <w:t xml:space="preserve"> </w:t>
            </w:r>
            <w:hyperlink r:id="rId10" w:history="1"/>
          </w:p>
        </w:tc>
      </w:tr>
      <w:tr w:rsidR="00AA57D2" w14:paraId="01744AF4" w14:textId="77777777" w:rsidTr="00F61007">
        <w:trPr>
          <w:trHeight w:val="588"/>
        </w:trPr>
        <w:tc>
          <w:tcPr>
            <w:tcW w:w="1195" w:type="dxa"/>
            <w:vMerge/>
          </w:tcPr>
          <w:p w14:paraId="2B7DB298" w14:textId="77777777" w:rsidR="00AA57D2" w:rsidRDefault="00AA57D2">
            <w:pPr>
              <w:jc w:val="center"/>
              <w:rPr>
                <w:b/>
                <w:sz w:val="22"/>
              </w:rPr>
            </w:pPr>
          </w:p>
        </w:tc>
        <w:tc>
          <w:tcPr>
            <w:tcW w:w="7821" w:type="dxa"/>
          </w:tcPr>
          <w:p w14:paraId="10394E0F" w14:textId="43A2BAB9" w:rsidR="00AA57D2" w:rsidRPr="00F30138" w:rsidRDefault="006E6518" w:rsidP="00F30138">
            <w:pPr>
              <w:tabs>
                <w:tab w:val="left" w:pos="4962"/>
              </w:tabs>
              <w:rPr>
                <w:rFonts w:hint="eastAsia"/>
              </w:rPr>
            </w:pPr>
            <w:hyperlink r:id="rId11" w:history="1">
              <w:r w:rsidRPr="00D5328C">
                <w:rPr>
                  <w:rStyle w:val="a6"/>
                </w:rPr>
                <w:t>https://www.m-joongang.com/news/articleView.html?idxno=297920</w:t>
              </w:r>
            </w:hyperlink>
            <w:r>
              <w:rPr>
                <w:rFonts w:hint="eastAsia"/>
              </w:rPr>
              <w:t xml:space="preserve"> </w:t>
            </w:r>
          </w:p>
        </w:tc>
      </w:tr>
      <w:tr w:rsidR="00AA57D2" w14:paraId="46CF512B" w14:textId="77777777" w:rsidTr="00F61007">
        <w:trPr>
          <w:trHeight w:val="588"/>
        </w:trPr>
        <w:tc>
          <w:tcPr>
            <w:tcW w:w="1195" w:type="dxa"/>
            <w:vMerge/>
          </w:tcPr>
          <w:p w14:paraId="656C1A47" w14:textId="77777777" w:rsidR="00AA57D2" w:rsidRDefault="00AA57D2">
            <w:pPr>
              <w:jc w:val="center"/>
              <w:rPr>
                <w:b/>
                <w:sz w:val="22"/>
              </w:rPr>
            </w:pPr>
          </w:p>
        </w:tc>
        <w:tc>
          <w:tcPr>
            <w:tcW w:w="7821" w:type="dxa"/>
          </w:tcPr>
          <w:p w14:paraId="7F38F300" w14:textId="1AF3CCA2" w:rsidR="00AA57D2" w:rsidRPr="00F30138" w:rsidRDefault="00AA57D2" w:rsidP="00F30138">
            <w:pPr>
              <w:tabs>
                <w:tab w:val="left" w:pos="4962"/>
              </w:tabs>
              <w:rPr>
                <w:rFonts w:hint="eastAsia"/>
              </w:rPr>
            </w:pPr>
          </w:p>
        </w:tc>
      </w:tr>
      <w:tr w:rsidR="00AA57D2" w14:paraId="5A03D2B3" w14:textId="77777777" w:rsidTr="00F61007">
        <w:trPr>
          <w:trHeight w:val="588"/>
        </w:trPr>
        <w:tc>
          <w:tcPr>
            <w:tcW w:w="1195" w:type="dxa"/>
            <w:vMerge/>
          </w:tcPr>
          <w:p w14:paraId="7E5BEA95" w14:textId="77777777" w:rsidR="00AA57D2" w:rsidRDefault="00AA57D2">
            <w:pPr>
              <w:jc w:val="center"/>
              <w:rPr>
                <w:b/>
                <w:sz w:val="22"/>
              </w:rPr>
            </w:pPr>
          </w:p>
        </w:tc>
        <w:tc>
          <w:tcPr>
            <w:tcW w:w="7821" w:type="dxa"/>
          </w:tcPr>
          <w:p w14:paraId="2743403B" w14:textId="35FAB177" w:rsidR="00AA57D2" w:rsidRPr="00F30138" w:rsidRDefault="00AA57D2" w:rsidP="00F30138">
            <w:pPr>
              <w:tabs>
                <w:tab w:val="left" w:pos="4962"/>
              </w:tabs>
              <w:rPr>
                <w:rFonts w:hint="eastAsia"/>
              </w:rPr>
            </w:pPr>
          </w:p>
        </w:tc>
      </w:tr>
      <w:tr w:rsidR="00AA57D2" w14:paraId="0FD1CF3E" w14:textId="77777777" w:rsidTr="00F61007">
        <w:trPr>
          <w:trHeight w:val="588"/>
        </w:trPr>
        <w:tc>
          <w:tcPr>
            <w:tcW w:w="1195" w:type="dxa"/>
            <w:vMerge/>
          </w:tcPr>
          <w:p w14:paraId="5FB710DD" w14:textId="77777777" w:rsidR="00AA57D2" w:rsidRDefault="00AA57D2">
            <w:pPr>
              <w:jc w:val="center"/>
              <w:rPr>
                <w:b/>
                <w:sz w:val="22"/>
              </w:rPr>
            </w:pPr>
          </w:p>
        </w:tc>
        <w:tc>
          <w:tcPr>
            <w:tcW w:w="7821" w:type="dxa"/>
          </w:tcPr>
          <w:p w14:paraId="0D0EE773" w14:textId="0E77ADF6" w:rsidR="00157858" w:rsidRPr="00F30138" w:rsidRDefault="00157858" w:rsidP="00F30138">
            <w:pPr>
              <w:tabs>
                <w:tab w:val="left" w:pos="4962"/>
              </w:tabs>
              <w:rPr>
                <w:rFonts w:hint="eastAsia"/>
              </w:rPr>
            </w:pPr>
          </w:p>
        </w:tc>
      </w:tr>
      <w:tr w:rsidR="00FA5DFA" w:rsidRPr="000A33CC" w14:paraId="01182539" w14:textId="77777777" w:rsidTr="00FA5DFA">
        <w:trPr>
          <w:trHeight w:val="657"/>
        </w:trPr>
        <w:tc>
          <w:tcPr>
            <w:tcW w:w="1195" w:type="dxa"/>
            <w:vMerge/>
          </w:tcPr>
          <w:p w14:paraId="6F536FAA" w14:textId="77777777" w:rsidR="00FA5DFA" w:rsidRDefault="00FA5DFA">
            <w:pPr>
              <w:jc w:val="center"/>
              <w:rPr>
                <w:b/>
                <w:sz w:val="22"/>
              </w:rPr>
            </w:pPr>
          </w:p>
        </w:tc>
        <w:tc>
          <w:tcPr>
            <w:tcW w:w="7821" w:type="dxa"/>
          </w:tcPr>
          <w:p w14:paraId="6EEFD054" w14:textId="520414D1" w:rsidR="00F30138" w:rsidRPr="00F30138" w:rsidRDefault="00F30138" w:rsidP="00F30138">
            <w:pPr>
              <w:tabs>
                <w:tab w:val="left" w:pos="4962"/>
              </w:tabs>
              <w:rPr>
                <w:rFonts w:hint="eastAsia"/>
              </w:rPr>
            </w:pPr>
            <w:r>
              <w:rPr>
                <w:rFonts w:hint="eastAsia"/>
              </w:rPr>
              <w:t xml:space="preserve"> </w:t>
            </w: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3264" w14:textId="77777777" w:rsidR="00534B01" w:rsidRDefault="00534B01">
      <w:pPr>
        <w:spacing w:after="0" w:line="240" w:lineRule="auto"/>
      </w:pPr>
      <w:r>
        <w:separator/>
      </w:r>
    </w:p>
  </w:endnote>
  <w:endnote w:type="continuationSeparator" w:id="0">
    <w:p w14:paraId="3C2F4886" w14:textId="77777777" w:rsidR="00534B01" w:rsidRDefault="0053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KR">
    <w:panose1 w:val="020B0200000000000000"/>
    <w:charset w:val="81"/>
    <w:family w:val="modern"/>
    <w:pitch w:val="variable"/>
    <w:sig w:usb0="30000287" w:usb1="2BDF3C10" w:usb2="00000016" w:usb3="00000000" w:csb0="002E0107"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200B" w14:textId="77777777" w:rsidR="00534B01" w:rsidRDefault="00534B01">
      <w:pPr>
        <w:spacing w:after="0" w:line="240" w:lineRule="auto"/>
      </w:pPr>
      <w:r>
        <w:separator/>
      </w:r>
    </w:p>
  </w:footnote>
  <w:footnote w:type="continuationSeparator" w:id="0">
    <w:p w14:paraId="738BF495" w14:textId="77777777" w:rsidR="00534B01" w:rsidRDefault="0053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BC"/>
    <w:multiLevelType w:val="hybridMultilevel"/>
    <w:tmpl w:val="D1AE7CBC"/>
    <w:lvl w:ilvl="0" w:tplc="66B6D33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5977F0F"/>
    <w:multiLevelType w:val="hybridMultilevel"/>
    <w:tmpl w:val="8D66EE02"/>
    <w:lvl w:ilvl="0" w:tplc="A4FE11E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5CD8093B"/>
    <w:multiLevelType w:val="hybridMultilevel"/>
    <w:tmpl w:val="431C022E"/>
    <w:lvl w:ilvl="0" w:tplc="2E24965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7CA10D03"/>
    <w:multiLevelType w:val="hybridMultilevel"/>
    <w:tmpl w:val="A26481A0"/>
    <w:lvl w:ilvl="0" w:tplc="9BF0D220">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813055598">
    <w:abstractNumId w:val="2"/>
  </w:num>
  <w:num w:numId="2" w16cid:durableId="1981182761">
    <w:abstractNumId w:val="0"/>
  </w:num>
  <w:num w:numId="3" w16cid:durableId="952134645">
    <w:abstractNumId w:val="1"/>
  </w:num>
  <w:num w:numId="4" w16cid:durableId="2029135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5F1D"/>
    <w:rsid w:val="00016DAD"/>
    <w:rsid w:val="00034327"/>
    <w:rsid w:val="000508DF"/>
    <w:rsid w:val="000567A1"/>
    <w:rsid w:val="00066A15"/>
    <w:rsid w:val="0007796A"/>
    <w:rsid w:val="00085242"/>
    <w:rsid w:val="00085A30"/>
    <w:rsid w:val="00092B23"/>
    <w:rsid w:val="000A33CC"/>
    <w:rsid w:val="000A5D74"/>
    <w:rsid w:val="000C18B6"/>
    <w:rsid w:val="000E4743"/>
    <w:rsid w:val="000F7F13"/>
    <w:rsid w:val="00101839"/>
    <w:rsid w:val="0010191C"/>
    <w:rsid w:val="00107C2B"/>
    <w:rsid w:val="00113FAB"/>
    <w:rsid w:val="00130111"/>
    <w:rsid w:val="00134DD3"/>
    <w:rsid w:val="001403A9"/>
    <w:rsid w:val="00145B43"/>
    <w:rsid w:val="00157858"/>
    <w:rsid w:val="0016084D"/>
    <w:rsid w:val="00182582"/>
    <w:rsid w:val="00190B64"/>
    <w:rsid w:val="001A3C98"/>
    <w:rsid w:val="001B137B"/>
    <w:rsid w:val="001B33F7"/>
    <w:rsid w:val="001C1574"/>
    <w:rsid w:val="001C514C"/>
    <w:rsid w:val="001C60BD"/>
    <w:rsid w:val="001D7E7B"/>
    <w:rsid w:val="001E1F55"/>
    <w:rsid w:val="00202644"/>
    <w:rsid w:val="00211221"/>
    <w:rsid w:val="0021588B"/>
    <w:rsid w:val="00243E81"/>
    <w:rsid w:val="00245F87"/>
    <w:rsid w:val="0025432F"/>
    <w:rsid w:val="00256078"/>
    <w:rsid w:val="002705BD"/>
    <w:rsid w:val="00274F82"/>
    <w:rsid w:val="00281361"/>
    <w:rsid w:val="00295E94"/>
    <w:rsid w:val="002A5B8B"/>
    <w:rsid w:val="002A768B"/>
    <w:rsid w:val="002D2728"/>
    <w:rsid w:val="002E2903"/>
    <w:rsid w:val="002F5843"/>
    <w:rsid w:val="00304608"/>
    <w:rsid w:val="003068AA"/>
    <w:rsid w:val="00330C9D"/>
    <w:rsid w:val="00332693"/>
    <w:rsid w:val="00350575"/>
    <w:rsid w:val="00355321"/>
    <w:rsid w:val="00360401"/>
    <w:rsid w:val="00375C23"/>
    <w:rsid w:val="00390E43"/>
    <w:rsid w:val="00391FC9"/>
    <w:rsid w:val="0039416E"/>
    <w:rsid w:val="003C04A9"/>
    <w:rsid w:val="003C44FB"/>
    <w:rsid w:val="003D6AC9"/>
    <w:rsid w:val="003E545F"/>
    <w:rsid w:val="004064AE"/>
    <w:rsid w:val="00410049"/>
    <w:rsid w:val="00420EB2"/>
    <w:rsid w:val="00425077"/>
    <w:rsid w:val="004274E5"/>
    <w:rsid w:val="00441DCC"/>
    <w:rsid w:val="00443E52"/>
    <w:rsid w:val="00445C7C"/>
    <w:rsid w:val="004542AD"/>
    <w:rsid w:val="004571D4"/>
    <w:rsid w:val="004916BF"/>
    <w:rsid w:val="00491E80"/>
    <w:rsid w:val="004A2EFB"/>
    <w:rsid w:val="004B2F1F"/>
    <w:rsid w:val="004C0E53"/>
    <w:rsid w:val="004D5A67"/>
    <w:rsid w:val="004E39C2"/>
    <w:rsid w:val="004F12C2"/>
    <w:rsid w:val="004F271C"/>
    <w:rsid w:val="00511454"/>
    <w:rsid w:val="00516681"/>
    <w:rsid w:val="005231A7"/>
    <w:rsid w:val="00525B56"/>
    <w:rsid w:val="00534B01"/>
    <w:rsid w:val="0055362E"/>
    <w:rsid w:val="005549A0"/>
    <w:rsid w:val="00563FBC"/>
    <w:rsid w:val="00565447"/>
    <w:rsid w:val="005D3593"/>
    <w:rsid w:val="005D764D"/>
    <w:rsid w:val="005E40E4"/>
    <w:rsid w:val="005F23CF"/>
    <w:rsid w:val="005F4BEF"/>
    <w:rsid w:val="006113FA"/>
    <w:rsid w:val="0061325A"/>
    <w:rsid w:val="006156D2"/>
    <w:rsid w:val="00640CFC"/>
    <w:rsid w:val="006467F8"/>
    <w:rsid w:val="00647B53"/>
    <w:rsid w:val="00650410"/>
    <w:rsid w:val="00655137"/>
    <w:rsid w:val="00656AA9"/>
    <w:rsid w:val="006575CD"/>
    <w:rsid w:val="00662497"/>
    <w:rsid w:val="006715F1"/>
    <w:rsid w:val="006B38CD"/>
    <w:rsid w:val="006B69AC"/>
    <w:rsid w:val="006C25F3"/>
    <w:rsid w:val="006C3D83"/>
    <w:rsid w:val="006D196A"/>
    <w:rsid w:val="006E6518"/>
    <w:rsid w:val="006E78E7"/>
    <w:rsid w:val="006F7562"/>
    <w:rsid w:val="00705B4D"/>
    <w:rsid w:val="00721D03"/>
    <w:rsid w:val="00724390"/>
    <w:rsid w:val="007305A6"/>
    <w:rsid w:val="007457C3"/>
    <w:rsid w:val="00750B8F"/>
    <w:rsid w:val="0075728D"/>
    <w:rsid w:val="0075793D"/>
    <w:rsid w:val="0076139F"/>
    <w:rsid w:val="0078384F"/>
    <w:rsid w:val="00785209"/>
    <w:rsid w:val="00796EC5"/>
    <w:rsid w:val="007A0E7E"/>
    <w:rsid w:val="007B36E6"/>
    <w:rsid w:val="007C1DFA"/>
    <w:rsid w:val="007C4176"/>
    <w:rsid w:val="007D14A0"/>
    <w:rsid w:val="007E20F2"/>
    <w:rsid w:val="007E2134"/>
    <w:rsid w:val="007F25BE"/>
    <w:rsid w:val="007F28DE"/>
    <w:rsid w:val="00802230"/>
    <w:rsid w:val="00813611"/>
    <w:rsid w:val="008335EE"/>
    <w:rsid w:val="00846C43"/>
    <w:rsid w:val="00847517"/>
    <w:rsid w:val="0085219A"/>
    <w:rsid w:val="008564B7"/>
    <w:rsid w:val="00863628"/>
    <w:rsid w:val="00865D1E"/>
    <w:rsid w:val="00871708"/>
    <w:rsid w:val="0087770A"/>
    <w:rsid w:val="0089194A"/>
    <w:rsid w:val="008A372B"/>
    <w:rsid w:val="008B2C0D"/>
    <w:rsid w:val="008B5DEB"/>
    <w:rsid w:val="008D3881"/>
    <w:rsid w:val="008E2014"/>
    <w:rsid w:val="0090171A"/>
    <w:rsid w:val="00910861"/>
    <w:rsid w:val="00913DF5"/>
    <w:rsid w:val="0091712C"/>
    <w:rsid w:val="00935DD4"/>
    <w:rsid w:val="0094313B"/>
    <w:rsid w:val="009467E3"/>
    <w:rsid w:val="00947C2F"/>
    <w:rsid w:val="009520B4"/>
    <w:rsid w:val="00975613"/>
    <w:rsid w:val="00977669"/>
    <w:rsid w:val="00981FC9"/>
    <w:rsid w:val="009950BC"/>
    <w:rsid w:val="009965B1"/>
    <w:rsid w:val="00996935"/>
    <w:rsid w:val="009A2DB9"/>
    <w:rsid w:val="009B6ED9"/>
    <w:rsid w:val="009C7A0C"/>
    <w:rsid w:val="009F5368"/>
    <w:rsid w:val="00A13103"/>
    <w:rsid w:val="00A16C9C"/>
    <w:rsid w:val="00A239E3"/>
    <w:rsid w:val="00A31469"/>
    <w:rsid w:val="00A3655F"/>
    <w:rsid w:val="00A43EB3"/>
    <w:rsid w:val="00A44B27"/>
    <w:rsid w:val="00A722B2"/>
    <w:rsid w:val="00A7786A"/>
    <w:rsid w:val="00A855DB"/>
    <w:rsid w:val="00AA57D2"/>
    <w:rsid w:val="00AD1D2E"/>
    <w:rsid w:val="00AD5905"/>
    <w:rsid w:val="00AE15B4"/>
    <w:rsid w:val="00AF15BD"/>
    <w:rsid w:val="00B116BA"/>
    <w:rsid w:val="00B33690"/>
    <w:rsid w:val="00B40A55"/>
    <w:rsid w:val="00B65FE5"/>
    <w:rsid w:val="00B774E6"/>
    <w:rsid w:val="00B77B15"/>
    <w:rsid w:val="00B822A2"/>
    <w:rsid w:val="00B9420F"/>
    <w:rsid w:val="00BC4554"/>
    <w:rsid w:val="00BE7C6C"/>
    <w:rsid w:val="00BF0AFF"/>
    <w:rsid w:val="00C01E2E"/>
    <w:rsid w:val="00C07D20"/>
    <w:rsid w:val="00C07D2E"/>
    <w:rsid w:val="00C1621F"/>
    <w:rsid w:val="00C3170B"/>
    <w:rsid w:val="00C32095"/>
    <w:rsid w:val="00C35D8E"/>
    <w:rsid w:val="00C37703"/>
    <w:rsid w:val="00C51CA3"/>
    <w:rsid w:val="00C5246C"/>
    <w:rsid w:val="00CC7027"/>
    <w:rsid w:val="00CD161E"/>
    <w:rsid w:val="00CD6987"/>
    <w:rsid w:val="00CE5221"/>
    <w:rsid w:val="00D00CE9"/>
    <w:rsid w:val="00D14F04"/>
    <w:rsid w:val="00D219BA"/>
    <w:rsid w:val="00D22C92"/>
    <w:rsid w:val="00D460D7"/>
    <w:rsid w:val="00D47289"/>
    <w:rsid w:val="00D50B24"/>
    <w:rsid w:val="00D50BEA"/>
    <w:rsid w:val="00D606F8"/>
    <w:rsid w:val="00D6455C"/>
    <w:rsid w:val="00D74CBB"/>
    <w:rsid w:val="00D8283B"/>
    <w:rsid w:val="00D92CEC"/>
    <w:rsid w:val="00DA328C"/>
    <w:rsid w:val="00DD162B"/>
    <w:rsid w:val="00DF03FC"/>
    <w:rsid w:val="00DF75C6"/>
    <w:rsid w:val="00E05AA1"/>
    <w:rsid w:val="00E20B73"/>
    <w:rsid w:val="00E20DF2"/>
    <w:rsid w:val="00E228FD"/>
    <w:rsid w:val="00E25510"/>
    <w:rsid w:val="00E3215C"/>
    <w:rsid w:val="00E4234E"/>
    <w:rsid w:val="00E44273"/>
    <w:rsid w:val="00E70145"/>
    <w:rsid w:val="00E8419B"/>
    <w:rsid w:val="00E91029"/>
    <w:rsid w:val="00E9281D"/>
    <w:rsid w:val="00E93A32"/>
    <w:rsid w:val="00EA4E92"/>
    <w:rsid w:val="00EB446A"/>
    <w:rsid w:val="00EC0BFB"/>
    <w:rsid w:val="00EC4F79"/>
    <w:rsid w:val="00ED0DAA"/>
    <w:rsid w:val="00ED4716"/>
    <w:rsid w:val="00EE40A8"/>
    <w:rsid w:val="00EF269A"/>
    <w:rsid w:val="00EF677A"/>
    <w:rsid w:val="00F0554F"/>
    <w:rsid w:val="00F2059F"/>
    <w:rsid w:val="00F25EC8"/>
    <w:rsid w:val="00F27C27"/>
    <w:rsid w:val="00F30138"/>
    <w:rsid w:val="00F3351A"/>
    <w:rsid w:val="00F607E7"/>
    <w:rsid w:val="00F658BA"/>
    <w:rsid w:val="00F72AE2"/>
    <w:rsid w:val="00F743B3"/>
    <w:rsid w:val="00F81D3B"/>
    <w:rsid w:val="00F84BA5"/>
    <w:rsid w:val="00F91026"/>
    <w:rsid w:val="00FA5DFA"/>
    <w:rsid w:val="00FB4742"/>
    <w:rsid w:val="00FB5CA1"/>
    <w:rsid w:val="00FC78E2"/>
    <w:rsid w:val="00FE5496"/>
    <w:rsid w:val="00FF1466"/>
    <w:rsid w:val="00FF40B3"/>
    <w:rsid w:val="00FF795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15:docId w15:val="{DB029441-E6A1-4FCB-9033-831ECAD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947C2F"/>
    <w:rPr>
      <w:color w:val="605E5C"/>
      <w:shd w:val="clear" w:color="auto" w:fill="E1DFDD"/>
    </w:rPr>
  </w:style>
  <w:style w:type="paragraph" w:styleId="ab">
    <w:name w:val="Normal (Web)"/>
    <w:basedOn w:val="a"/>
    <w:uiPriority w:val="99"/>
    <w:semiHidden/>
    <w:unhideWhenUsed/>
    <w:rsid w:val="00A722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redglobalhealth.wordpress.com/wp-content/uploads/2011/03/beyond-cultur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r.co.kr/news/articleView.html?idxno=504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joongang.com/news/articleView.html?idxno=297920" TargetMode="External"/><Relationship Id="rId5" Type="http://schemas.openxmlformats.org/officeDocument/2006/relationships/footnotes" Target="footnotes.xml"/><Relationship Id="rId10" Type="http://schemas.openxmlformats.org/officeDocument/2006/relationships/hyperlink" Target="file:///C:/Users/kkang/Downloads/12.26%20%EA%B3%A0%EC%9A%A9%EB%85%B8%EB%8F%99%EB%B6%80%20%EC%9D%8C%EC%8B%9D%20%EB%B0%B0%EB%8B%AC%ED%94%8C%EB%9E%AB%ED%8F%BC%20%EC%82%AC%EC%97%85%EC%9E%A5%20%EC%A0%90%EA%B2%80%20%EA%B2%B0%EA%B3%BC%20%EB%B0%9C%ED%91%9C(%EC%82%B0%EC%97%85%EC%95%88%EC%A0%84%EA%B8%B0%EC%A4%80%EA%B3%BC).pdf" TargetMode="External"/><Relationship Id="rId4" Type="http://schemas.openxmlformats.org/officeDocument/2006/relationships/webSettings" Target="webSettings.xml"/><Relationship Id="rId9" Type="http://schemas.openxmlformats.org/officeDocument/2006/relationships/hyperlink" Target="https://brunch.co.kr/@freevaccine/76"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474</Words>
  <Characters>2705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예린 김</cp:lastModifiedBy>
  <cp:revision>199</cp:revision>
  <dcterms:created xsi:type="dcterms:W3CDTF">2022-04-30T13:06:00Z</dcterms:created>
  <dcterms:modified xsi:type="dcterms:W3CDTF">2026-06-19T07:58:00Z</dcterms:modified>
  <cp:version>1100.0100.01</cp:version>
</cp:coreProperties>
</file>