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footer1.xml" ContentType="application/vnd.openxmlformats-officedocument.wordprocessingml.footer+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jc w:val="center"/>
      </w:pPr>
      <w:r>
        <w:rPr>
          <w:rFonts w:ascii="맑은 고딕" w:eastAsia="맑은 고딕" w:hAnsi="맑은 고딕"/>
          <w:b/>
          <w:color w:val="1F2937"/>
          <w:sz w:val="44"/>
          <w:szCs w:val="44"/>
        </w:rPr>
        <w:t>출판기획서</w:t>
      </w:r>
    </w:p>
    <w:p>
      <w:pPr>
        <w:jc w:val="center"/>
        <w:rPr>
          <w:sz w:val="36"/>
          <w:szCs w:val="36"/>
        </w:rPr>
      </w:pPr>
      <w:r>
        <w:rPr>
          <w:rFonts w:ascii="맑은 고딕" w:eastAsia="맑은 고딕" w:hAnsi="맑은 고딕"/>
          <w:b/>
          <w:color w:val="111827"/>
          <w:sz w:val="36"/>
          <w:szCs w:val="36"/>
        </w:rPr>
        <w:t>『아이의 꿈, 엄마의 바람』</w:t>
      </w:r>
    </w:p>
    <w:p>
      <w:pPr>
        <w:jc w:val="center"/>
      </w:pPr>
      <w:r>
        <w:rPr>
          <w:rFonts w:ascii="맑은 고딕" w:eastAsia="맑은 고딕" w:hAnsi="맑은 고딕"/>
          <w:i/>
          <w:color w:val="4B5563"/>
          <w:sz w:val="21"/>
        </w:rPr>
        <w:t>세상이 정한 길 밖에서 각자의 궤도를 찾기까지 — 함께 흔들리고 함께 자란 엄마와 아이의 기록</w:t>
      </w:r>
    </w:p>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5185"/>
        <w:gridCol w:w="5185"/>
      </w:tblGrid>
      <w:tr>
        <w:trPr>
          <w:tblHeader/>
        </w:trPr>
        <w:tc>
          <w:tcPr>
            <w:tcW w:w="2041" w:type="dxa"/>
            <w:shd w:val="clear" w:color="auto" w:fill="EEF2F7"/>
            <w:vAlign w:val="center"/>
          </w:tcPr>
          <w:p>
            <w:pPr>
              <w:spacing w:after="0"/>
            </w:pPr>
            <w:r>
              <w:rPr>
                <w:rFonts w:ascii="맑은 고딕" w:eastAsia="맑은 고딕" w:hAnsi="맑은 고딕"/>
                <w:b/>
                <w:color w:val="1F2937"/>
                <w:sz w:val="18"/>
              </w:rPr>
              <w:t>항목</w:t>
            </w:r>
          </w:p>
        </w:tc>
        <w:tc>
          <w:tcPr>
            <w:tcW w:w="7087" w:type="dxa"/>
            <w:shd w:val="clear" w:color="auto" w:fill="EEF2F7"/>
            <w:vAlign w:val="center"/>
          </w:tcPr>
          <w:p>
            <w:pPr>
              <w:spacing w:after="0"/>
            </w:pPr>
            <w:r>
              <w:rPr>
                <w:rFonts w:ascii="맑은 고딕" w:eastAsia="맑은 고딕" w:hAnsi="맑은 고딕"/>
                <w:b/>
                <w:color w:val="1F2937"/>
                <w:sz w:val="18"/>
              </w:rPr>
              <w:t>내용</w:t>
            </w:r>
          </w:p>
        </w:tc>
      </w:tr>
      <w:tr>
        <w:tc>
          <w:tcPr>
            <w:tcW w:w="2041" w:type="dxa"/>
            <w:vAlign w:val="top"/>
          </w:tcPr>
          <w:p>
            <w:pPr>
              <w:spacing w:after="0"/>
            </w:pPr>
            <w:r>
              <w:rPr>
                <w:rFonts w:ascii="맑은 고딕" w:eastAsia="맑은 고딕" w:hAnsi="맑은 고딕"/>
                <w:b w:val="0"/>
                <w:sz w:val="18"/>
              </w:rPr>
              <w:t>프로젝트명</w:t>
            </w:r>
          </w:p>
        </w:tc>
        <w:tc>
          <w:tcPr>
            <w:tcW w:w="7087" w:type="dxa"/>
            <w:vAlign w:val="top"/>
          </w:tcPr>
          <w:p>
            <w:pPr>
              <w:spacing w:after="0"/>
            </w:pPr>
            <w:r>
              <w:rPr>
                <w:rFonts w:ascii="맑은 고딕" w:eastAsia="맑은 고딕" w:hAnsi="맑은 고딕"/>
                <w:b w:val="0"/>
                <w:sz w:val="18"/>
              </w:rPr>
              <w:t>[가제] 『아이의 꿈, 엄마의 바람』</w:t>
            </w:r>
          </w:p>
        </w:tc>
      </w:tr>
      <w:tr>
        <w:tc>
          <w:tcPr>
            <w:tcW w:w="2041" w:type="dxa"/>
            <w:vAlign w:val="top"/>
          </w:tcPr>
          <w:p>
            <w:pPr>
              <w:spacing w:after="0"/>
            </w:pPr>
            <w:r>
              <w:rPr>
                <w:rFonts w:ascii="맑은 고딕" w:eastAsia="맑은 고딕" w:hAnsi="맑은 고딕"/>
                <w:b w:val="0"/>
                <w:sz w:val="18"/>
              </w:rPr>
              <w:t>저자/필명</w:t>
            </w:r>
          </w:p>
        </w:tc>
        <w:tc>
          <w:tcPr>
            <w:tcW w:w="7087" w:type="dxa"/>
            <w:vAlign w:val="top"/>
          </w:tcPr>
          <w:p>
            <w:pPr>
              <w:spacing w:after="0"/>
            </w:pPr>
            <w:r>
              <w:rPr>
                <w:lang w:eastAsia="ko-KR"/>
                <w:sz w:val="18"/>
                <w:szCs w:val="18"/>
                <w:rtl w:val="off"/>
              </w:rPr>
              <w:t>sjem</w:t>
            </w:r>
          </w:p>
        </w:tc>
      </w:tr>
      <w:tr>
        <w:tc>
          <w:tcPr>
            <w:tcW w:w="2041" w:type="dxa"/>
            <w:vAlign w:val="top"/>
          </w:tcPr>
          <w:p>
            <w:pPr>
              <w:spacing w:after="0"/>
            </w:pPr>
            <w:r>
              <w:rPr>
                <w:rFonts w:ascii="맑은 고딕" w:eastAsia="맑은 고딕" w:hAnsi="맑은 고딕"/>
                <w:b w:val="0"/>
                <w:sz w:val="18"/>
              </w:rPr>
              <w:t>분야/카테고리</w:t>
            </w:r>
          </w:p>
        </w:tc>
        <w:tc>
          <w:tcPr>
            <w:tcW w:w="7087" w:type="dxa"/>
            <w:vAlign w:val="top"/>
          </w:tcPr>
          <w:p>
            <w:pPr>
              <w:spacing w:after="0"/>
            </w:pPr>
            <w:r>
              <w:rPr>
                <w:rFonts w:ascii="맑은 고딕" w:eastAsia="맑은 고딕" w:hAnsi="맑은 고딕"/>
                <w:b w:val="0"/>
                <w:sz w:val="18"/>
              </w:rPr>
              <w:t>에세이 / 부모 에세이 / 교육 에세이 / 가족 성장기 / 청소년 진로·학교 밖 청소년</w:t>
            </w:r>
          </w:p>
        </w:tc>
      </w:tr>
      <w:tr>
        <w:tc>
          <w:tcPr>
            <w:tcW w:w="2041" w:type="dxa"/>
            <w:vAlign w:val="top"/>
          </w:tcPr>
          <w:p>
            <w:pPr>
              <w:spacing w:after="0"/>
            </w:pPr>
            <w:r>
              <w:rPr>
                <w:rFonts w:ascii="맑은 고딕" w:eastAsia="맑은 고딕" w:hAnsi="맑은 고딕"/>
                <w:b w:val="0"/>
                <w:sz w:val="18"/>
              </w:rPr>
              <w:t>원고 상태</w:t>
            </w:r>
          </w:p>
        </w:tc>
        <w:tc>
          <w:tcPr>
            <w:tcW w:w="7087" w:type="dxa"/>
            <w:vAlign w:val="top"/>
          </w:tcPr>
          <w:p>
            <w:pPr>
              <w:spacing w:after="0"/>
            </w:pPr>
            <w:r>
              <w:rPr>
                <w:rFonts w:ascii="맑은 고딕" w:eastAsia="맑은 고딕" w:hAnsi="맑은 고딕"/>
                <w:b w:val="0"/>
                <w:sz w:val="18"/>
              </w:rPr>
              <w:t>기획 단계. 세부 목차 확정 및 샘플 원고 준비 예정</w:t>
            </w:r>
          </w:p>
        </w:tc>
      </w:tr>
      <w:tr>
        <w:tc>
          <w:tcPr>
            <w:tcW w:w="2041" w:type="dxa"/>
            <w:vAlign w:val="top"/>
          </w:tcPr>
          <w:p>
            <w:pPr>
              <w:spacing w:after="0"/>
            </w:pPr>
            <w:r>
              <w:rPr>
                <w:rFonts w:ascii="맑은 고딕" w:eastAsia="맑은 고딕" w:hAnsi="맑은 고딕"/>
                <w:b w:val="0"/>
                <w:sz w:val="18"/>
              </w:rPr>
              <w:t>예상 분량</w:t>
            </w:r>
          </w:p>
        </w:tc>
        <w:tc>
          <w:tcPr>
            <w:tcW w:w="7087" w:type="dxa"/>
            <w:vAlign w:val="top"/>
          </w:tcPr>
          <w:p>
            <w:pPr>
              <w:spacing w:after="0"/>
            </w:pPr>
            <w:r>
              <w:rPr>
                <w:rFonts w:ascii="맑은 고딕" w:eastAsia="맑은 고딕" w:hAnsi="맑은 고딕"/>
                <w:b w:val="0"/>
                <w:sz w:val="18"/>
              </w:rPr>
              <w:t>단행본 240~280쪽 내외, 약 10만~12만 자 예상</w:t>
            </w:r>
          </w:p>
        </w:tc>
      </w:tr>
      <w:tr>
        <w:tc>
          <w:tcPr>
            <w:tcW w:w="2041" w:type="dxa"/>
            <w:vAlign w:val="top"/>
          </w:tcPr>
          <w:p>
            <w:pPr>
              <w:spacing w:after="0"/>
            </w:pPr>
            <w:r>
              <w:rPr>
                <w:rFonts w:ascii="맑은 고딕" w:eastAsia="맑은 고딕" w:hAnsi="맑은 고딕"/>
                <w:b w:val="0"/>
                <w:sz w:val="18"/>
              </w:rPr>
              <w:t>희망 출간 시기</w:t>
            </w:r>
          </w:p>
        </w:tc>
        <w:tc>
          <w:tcPr>
            <w:tcW w:w="7087" w:type="dxa"/>
            <w:vAlign w:val="top"/>
          </w:tcPr>
          <w:p>
            <w:pPr>
              <w:spacing w:after="0"/>
            </w:pPr>
            <w:r>
              <w:rPr>
                <w:rFonts w:ascii="맑은 고딕" w:eastAsia="맑은 고딕" w:hAnsi="맑은 고딕"/>
                <w:b w:val="0"/>
                <w:sz w:val="18"/>
              </w:rPr>
              <w:t>2026년 하반기~2027년 상반기</w:t>
            </w:r>
          </w:p>
        </w:tc>
      </w:tr>
      <w:tr>
        <w:tc>
          <w:tcPr>
            <w:tcW w:w="2041" w:type="dxa"/>
            <w:vAlign w:val="top"/>
          </w:tcPr>
          <w:p>
            <w:pPr>
              <w:spacing w:after="0"/>
            </w:pPr>
            <w:r>
              <w:rPr>
                <w:rFonts w:ascii="맑은 고딕" w:eastAsia="맑은 고딕" w:hAnsi="맑은 고딕"/>
                <w:b w:val="0"/>
                <w:sz w:val="18"/>
              </w:rPr>
              <w:t>연락처</w:t>
            </w:r>
          </w:p>
        </w:tc>
        <w:tc>
          <w:tcPr>
            <w:tcW w:w="7087" w:type="dxa"/>
            <w:vAlign w:val="top"/>
          </w:tcPr>
          <w:p>
            <w:pPr>
              <w:spacing w:after="0"/>
              <w:rPr>
                <w:sz w:val="18"/>
                <w:szCs w:val="18"/>
              </w:rPr>
            </w:pPr>
          </w:p>
        </w:tc>
      </w:tr>
      <w:tr>
        <w:tc>
          <w:tcPr>
            <w:tcW w:w="2041" w:type="dxa"/>
            <w:vAlign w:val="top"/>
          </w:tcPr>
          <w:p>
            <w:pPr>
              <w:spacing w:after="0"/>
            </w:pPr>
            <w:r>
              <w:rPr>
                <w:rFonts w:ascii="맑은 고딕" w:eastAsia="맑은 고딕" w:hAnsi="맑은 고딕"/>
                <w:b w:val="0"/>
                <w:sz w:val="18"/>
              </w:rPr>
              <w:t>웹 자료 검토일</w:t>
            </w:r>
          </w:p>
        </w:tc>
        <w:tc>
          <w:tcPr>
            <w:tcW w:w="7087" w:type="dxa"/>
            <w:vAlign w:val="top"/>
          </w:tcPr>
          <w:p>
            <w:pPr>
              <w:spacing w:after="0"/>
            </w:pPr>
            <w:r>
              <w:rPr>
                <w:rFonts w:ascii="맑은 고딕" w:eastAsia="맑은 고딕" w:hAnsi="맑은 고딕"/>
                <w:b w:val="0"/>
                <w:sz w:val="18"/>
              </w:rPr>
              <w:t>2026-06-10</w:t>
            </w:r>
          </w:p>
        </w:tc>
      </w:tr>
    </w:tbl>
    <w:p/>
    <w:p>
      <w:pPr>
        <w:pStyle w:val="Heading1"/>
        <w:spacing w:after="120" w:before="320"/>
      </w:pPr>
      <w:r>
        <w:rPr>
          <w:rFonts w:ascii="맑은 고딕" w:eastAsia="맑은 고딕" w:hAnsi="맑은 고딕"/>
          <w:color w:val="1F2937"/>
        </w:rPr>
        <w:t>1. 한 줄 제안</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5185"/>
        <w:gridCol w:w="5185"/>
      </w:tblGrid>
      <w:tr>
        <w:trPr>
          <w:tblHeader/>
        </w:trPr>
        <w:tc>
          <w:tcPr>
            <w:tcW w:w="1984" w:type="dxa"/>
            <w:shd w:val="clear" w:color="auto" w:fill="EEF2F7"/>
            <w:vAlign w:val="center"/>
          </w:tcPr>
          <w:p>
            <w:pPr>
              <w:spacing w:after="0"/>
            </w:pPr>
            <w:r>
              <w:rPr>
                <w:rFonts w:ascii="맑은 고딕" w:eastAsia="맑은 고딕" w:hAnsi="맑은 고딕"/>
                <w:b/>
                <w:color w:val="1F2937"/>
                <w:sz w:val="18"/>
              </w:rPr>
              <w:t>구분</w:t>
            </w:r>
          </w:p>
        </w:tc>
        <w:tc>
          <w:tcPr>
            <w:tcW w:w="7370" w:type="dxa"/>
            <w:shd w:val="clear" w:color="auto" w:fill="EEF2F7"/>
            <w:vAlign w:val="center"/>
          </w:tcPr>
          <w:p>
            <w:pPr>
              <w:spacing w:after="0"/>
            </w:pPr>
            <w:r>
              <w:rPr>
                <w:rFonts w:ascii="맑은 고딕" w:eastAsia="맑은 고딕" w:hAnsi="맑은 고딕"/>
                <w:b/>
                <w:color w:val="1F2937"/>
                <w:sz w:val="18"/>
              </w:rPr>
              <w:t>내용</w:t>
            </w:r>
          </w:p>
        </w:tc>
      </w:tr>
      <w:tr>
        <w:tc>
          <w:tcPr>
            <w:tcW w:w="1984" w:type="dxa"/>
            <w:vAlign w:val="top"/>
          </w:tcPr>
          <w:p>
            <w:pPr>
              <w:spacing w:after="0"/>
            </w:pPr>
            <w:r>
              <w:rPr>
                <w:rFonts w:ascii="맑은 고딕" w:eastAsia="맑은 고딕" w:hAnsi="맑은 고딕"/>
                <w:b w:val="0"/>
                <w:sz w:val="18"/>
              </w:rPr>
              <w:t>한 줄 소개</w:t>
            </w:r>
          </w:p>
        </w:tc>
        <w:tc>
          <w:tcPr>
            <w:tcW w:w="7370" w:type="dxa"/>
            <w:vAlign w:val="top"/>
          </w:tcPr>
          <w:p>
            <w:pPr>
              <w:spacing w:after="0"/>
            </w:pPr>
            <w:r>
              <w:rPr>
                <w:rFonts w:ascii="맑은 고딕" w:eastAsia="맑은 고딕" w:hAnsi="맑은 고딕"/>
                <w:b w:val="0"/>
                <w:sz w:val="18"/>
              </w:rPr>
              <w:t>자사고 자퇴를 선택한 아이와, 그 선택 앞에서 사랑의 방향을 다시 배운 엄마가 함께 흔들리고 성장한 기록입니다.</w:t>
            </w:r>
          </w:p>
        </w:tc>
      </w:tr>
      <w:tr>
        <w:tc>
          <w:tcPr>
            <w:tcW w:w="1984" w:type="dxa"/>
            <w:vAlign w:val="top"/>
          </w:tcPr>
          <w:p>
            <w:pPr>
              <w:spacing w:after="0"/>
            </w:pPr>
            <w:r>
              <w:rPr>
                <w:rFonts w:ascii="맑은 고딕" w:eastAsia="맑은 고딕" w:hAnsi="맑은 고딕"/>
                <w:b w:val="0"/>
                <w:sz w:val="18"/>
              </w:rPr>
              <w:t>핵심 독자 약속</w:t>
            </w:r>
          </w:p>
        </w:tc>
        <w:tc>
          <w:tcPr>
            <w:tcW w:w="7370" w:type="dxa"/>
            <w:vAlign w:val="top"/>
          </w:tcPr>
          <w:p>
            <w:pPr>
              <w:spacing w:after="0"/>
            </w:pPr>
            <w:r>
              <w:rPr>
                <w:rFonts w:ascii="맑은 고딕" w:eastAsia="맑은 고딕" w:hAnsi="맑은 고딕"/>
                <w:b w:val="0"/>
                <w:sz w:val="18"/>
              </w:rPr>
              <w:t>독자는 아이의 진로 선택 앞에서 느끼는 불안을 혼자만의 실패로 여기지 않게 되고, 사랑과 통제의 경계를 돌아보며 아이를 한 사람으로 존중하는 언어를 얻게 됩니다.</w:t>
            </w:r>
          </w:p>
        </w:tc>
      </w:tr>
      <w:tr>
        <w:tc>
          <w:tcPr>
            <w:tcW w:w="1984" w:type="dxa"/>
            <w:vAlign w:val="top"/>
          </w:tcPr>
          <w:p>
            <w:pPr>
              <w:spacing w:after="0"/>
            </w:pPr>
            <w:r>
              <w:rPr>
                <w:rFonts w:ascii="맑은 고딕" w:eastAsia="맑은 고딕" w:hAnsi="맑은 고딕"/>
                <w:b w:val="0"/>
                <w:sz w:val="18"/>
              </w:rPr>
              <w:t>핵심 키워드</w:t>
            </w:r>
          </w:p>
        </w:tc>
        <w:tc>
          <w:tcPr>
            <w:tcW w:w="7370" w:type="dxa"/>
            <w:vAlign w:val="top"/>
          </w:tcPr>
          <w:p>
            <w:pPr>
              <w:spacing w:after="0"/>
            </w:pPr>
            <w:r>
              <w:rPr>
                <w:rFonts w:ascii="맑은 고딕" w:eastAsia="맑은 고딕" w:hAnsi="맑은 고딕"/>
                <w:b w:val="0"/>
                <w:sz w:val="18"/>
              </w:rPr>
              <w:t>자사고 자퇴, 학교 밖 청소년, 검정고시, 대학 진학, 부모 성장, 엄마의 불안, 아이의 독립, 진로 선택, 대안교육, 신뢰와 기다림</w:t>
            </w:r>
          </w:p>
        </w:tc>
      </w:tr>
    </w:tbl>
    <w:p/>
    <w:p>
      <w:pPr>
        <w:pStyle w:val="Heading1"/>
        <w:spacing w:after="120" w:before="320"/>
      </w:pPr>
      <w:r>
        <w:rPr>
          <w:rFonts w:ascii="맑은 고딕" w:eastAsia="맑은 고딕" w:hAnsi="맑은 고딕"/>
          <w:color w:val="1F2937"/>
        </w:rPr>
        <w:t>2. 기획 의도와 콘셉트</w:t>
      </w:r>
    </w:p>
    <w:p>
      <w:pPr>
        <w:rPr/>
      </w:pPr>
      <w:r>
        <w:rPr>
          <w:rFonts w:ascii="맑은 고딕" w:eastAsia="맑은 고딕" w:hAnsi="맑은 고딕"/>
          <w:sz w:val="20"/>
        </w:rPr>
        <w:t xml:space="preserve">이 책은 아이의 자사고 자퇴를 둘러싼 한 가족의 기록입니다. 그러나 단순히 “학교를 그만둔 아이가 결국 자기 길을 찾았다”는 성공담이 아닙니다. 이 책의 중심에는 아이의 자퇴보다 더 깊은 질문이 있습니다. </w:t>
      </w:r>
      <w:r>
        <w:rPr/>
        <w:t>아이를 위한다는 마음은 어디까지 아이를 지켜주는 힘이 되고, 어느 순간부터 아이의 길을 대신 정하려는 불안이 되는가.</w:t>
      </w:r>
    </w:p>
    <w:p>
      <w:pPr>
        <w:spacing w:after="80" w:line="276" w:lineRule="auto"/>
        <w:rPr>
          <w:lang w:eastAsia="ko-KR"/>
          <w:rFonts w:ascii="맑은 고딕" w:eastAsia="맑은 고딕" w:hAnsi="맑은 고딕" w:hint="eastAsia"/>
          <w:sz w:val="20"/>
          <w:rtl w:val="off"/>
        </w:rPr>
      </w:pPr>
    </w:p>
    <w:p>
      <w:pPr>
        <w:spacing w:after="80" w:line="276" w:lineRule="auto"/>
      </w:pPr>
      <w:r>
        <w:rPr>
          <w:rFonts w:ascii="맑은 고딕" w:eastAsia="맑은 고딕" w:hAnsi="맑은 고딕"/>
          <w:sz w:val="20"/>
        </w:rPr>
        <w:t>엄마는 아이가 안전한 길을 걷기를 바랐습니다. 좋은 학교, 안정적인 진로, 사회가 인정하는 궤도. 그것은 엄마가 아이에게 줄 수 있는 최선의 보호처럼 보였습니다. 그러나 아이는 그 길 위에서 점점 자신을 잃어가고 있었고, 마침내 자퇴라는 선택을 통해 자기 삶을 스스로 선택하겠다고 말합니다.</w:t>
      </w:r>
    </w:p>
    <w:p>
      <w:pPr>
        <w:spacing w:after="80" w:line="276" w:lineRule="auto"/>
      </w:pPr>
      <w:r>
        <w:rPr>
          <w:rFonts w:ascii="맑은 고딕" w:eastAsia="맑은 고딕" w:hAnsi="맑은 고딕"/>
          <w:sz w:val="20"/>
        </w:rPr>
        <w:t>처음 엄마는 그 선택을 받아들이지 못합니다. 아이의 미래가 무너질까 봐 두려웠고, 세상의 시선이 무서웠으며, 자신이 믿어온 안전한 지도가 틀릴지도 모른다는 사실이 두려웠습니다. 그러나 밤새 이어진 대화, 자퇴서에 도장을 찍던 날, 그리고 학교 밖에서 맞이한 막막한 1년을 지나며 엄마는 조금씩 깨닫습니다. 아이에게 필요했던 것은 엄마가 대신 그려준 길이 아니라, 스스로 길을 만들 수 있다는 믿음이었다는 것을요.</w:t>
      </w:r>
    </w:p>
    <w:p>
      <w:pPr>
        <w:spacing w:after="80" w:line="276" w:lineRule="auto"/>
      </w:pPr>
      <w:r>
        <w:rPr>
          <w:rFonts w:ascii="맑은 고딕" w:eastAsia="맑은 고딕" w:hAnsi="맑은 고딕"/>
          <w:sz w:val="20"/>
        </w:rPr>
        <w:t>콘셉트는 “엄마의 회고”와 “아이의 목소리”가 번갈아 놓이는 에세이형 회고록입니다. 각 장 사이에는 아이가 직접 쓴 편지, 일기, 메모, 진로 노트의 일부를 삽입해 제목이 약속한 ‘아이의 꿈’과 ‘엄마의 바람’이 형식으로도 마주 보도록 구성합니다. 독자는 한 가족의 사적인 기록을 읽으며, 사랑·불안·독립·진로 선택이라는 보편적인 질문을 자신의 삶에 비추어 보게 됩니다.</w:t>
      </w:r>
    </w:p>
    <w:p>
      <w:pPr>
        <w:spacing w:after="80" w:line="276" w:lineRule="auto"/>
        <w:rPr>
          <w:lang w:eastAsia="ko-KR"/>
          <w:rFonts w:ascii="맑은 고딕" w:eastAsia="맑은 고딕" w:hAnsi="맑은 고딕" w:hint="eastAsia"/>
          <w:sz w:val="20"/>
          <w:rtl w:val="off"/>
        </w:rPr>
      </w:pPr>
      <w:r>
        <w:rPr>
          <w:rFonts w:ascii="맑은 고딕" w:eastAsia="맑은 고딕" w:hAnsi="맑은 고딕"/>
          <w:sz w:val="20"/>
        </w:rPr>
        <w:t>이 책은 자퇴를 권하는 책이 아닙니다. 제도권 밖의 삶을 무조건 낭만화하지도 않습니다. 오히려 자퇴 이후의 공백, 흔들림, 다시 대학 진학을 고려하게 되는 현실적인 변화까지 솔직하게 담습니다. 자퇴 후 1년, 아이는 세상의 시선을 무조건 거부하는 대신 자기 방식으로 다시 읽기 시작합니다. 대학 역시 엄마가 바라는 안전한 트랙이 아니라, 아이가 자기 궤도 안에서 다시 검토하는 하나의 선택지가 됩니다.</w:t>
      </w:r>
    </w:p>
    <w:p>
      <w:pPr>
        <w:spacing w:after="80" w:line="276" w:lineRule="auto"/>
      </w:pPr>
    </w:p>
    <w:p>
      <w:pPr>
        <w:pStyle w:val="Heading1"/>
        <w:spacing w:after="120" w:before="320"/>
      </w:pPr>
      <w:r>
        <w:rPr>
          <w:rFonts w:ascii="맑은 고딕" w:eastAsia="맑은 고딕" w:hAnsi="맑은 고딕"/>
          <w:color w:val="1F2937"/>
        </w:rPr>
        <w:t>3. 저자 소개</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5185"/>
        <w:gridCol w:w="5185"/>
      </w:tblGrid>
      <w:tr>
        <w:trPr>
          <w:tblHeader/>
        </w:trPr>
        <w:tc>
          <w:tcPr>
            <w:tcW w:w="1984" w:type="dxa"/>
            <w:shd w:val="clear" w:color="auto" w:fill="EEF2F7"/>
            <w:vAlign w:val="center"/>
          </w:tcPr>
          <w:p>
            <w:pPr>
              <w:spacing w:after="0"/>
            </w:pPr>
            <w:r>
              <w:rPr>
                <w:rFonts w:ascii="맑은 고딕" w:eastAsia="맑은 고딕" w:hAnsi="맑은 고딕"/>
                <w:b/>
                <w:color w:val="1F2937"/>
                <w:sz w:val="18"/>
              </w:rPr>
              <w:t>항목</w:t>
            </w:r>
          </w:p>
        </w:tc>
        <w:tc>
          <w:tcPr>
            <w:tcW w:w="7370" w:type="dxa"/>
            <w:shd w:val="clear" w:color="auto" w:fill="EEF2F7"/>
            <w:vAlign w:val="center"/>
          </w:tcPr>
          <w:p>
            <w:pPr>
              <w:spacing w:after="0"/>
            </w:pPr>
            <w:r>
              <w:rPr>
                <w:rFonts w:ascii="맑은 고딕" w:eastAsia="맑은 고딕" w:hAnsi="맑은 고딕"/>
                <w:b/>
                <w:color w:val="1F2937"/>
                <w:sz w:val="18"/>
              </w:rPr>
              <w:t>내용</w:t>
            </w:r>
          </w:p>
        </w:tc>
      </w:tr>
      <w:tr>
        <w:tc>
          <w:tcPr>
            <w:tcW w:w="1984" w:type="dxa"/>
            <w:vAlign w:val="top"/>
          </w:tcPr>
          <w:p>
            <w:pPr>
              <w:spacing w:after="0"/>
            </w:pPr>
            <w:r>
              <w:rPr>
                <w:rFonts w:ascii="맑은 고딕" w:eastAsia="맑은 고딕" w:hAnsi="맑은 고딕"/>
                <w:b w:val="0"/>
                <w:sz w:val="18"/>
              </w:rPr>
              <w:t>저자 약력</w:t>
            </w:r>
          </w:p>
        </w:tc>
        <w:tc>
          <w:tcPr>
            <w:tcW w:w="7370" w:type="dxa"/>
            <w:vAlign w:val="top"/>
          </w:tcPr>
          <w:p>
            <w:pPr>
              <w:spacing w:after="0"/>
            </w:pPr>
            <w:r>
              <w:rPr>
                <w:rFonts w:ascii="맑은 고딕" w:eastAsia="맑은 고딕" w:hAnsi="맑은 고딕"/>
                <w:b w:val="0"/>
                <w:sz w:val="18"/>
              </w:rPr>
              <w:t>자사고 자퇴를 선택한 아이의 엄마. 아이의 선택을 둘러싼 갈등, 수용, 학교 밖 1년의 시간을 기록하며 부모로서의 불안과 성장 과정을 글로 풀어내고자 합니다. 구체 약력은 추후 기입 필요.</w:t>
            </w:r>
          </w:p>
        </w:tc>
      </w:tr>
      <w:tr>
        <w:tc>
          <w:tcPr>
            <w:tcW w:w="1984" w:type="dxa"/>
            <w:vAlign w:val="top"/>
          </w:tcPr>
          <w:p>
            <w:pPr>
              <w:spacing w:after="0"/>
            </w:pPr>
            <w:r>
              <w:rPr>
                <w:rFonts w:ascii="맑은 고딕" w:eastAsia="맑은 고딕" w:hAnsi="맑은 고딕"/>
                <w:b w:val="0"/>
                <w:sz w:val="18"/>
              </w:rPr>
              <w:t>대표 활동</w:t>
            </w:r>
          </w:p>
        </w:tc>
        <w:tc>
          <w:tcPr>
            <w:tcW w:w="7370" w:type="dxa"/>
            <w:vAlign w:val="top"/>
          </w:tcPr>
          <w:p>
            <w:pPr>
              <w:spacing w:after="0"/>
              <w:rPr>
                <w:sz w:val="18"/>
                <w:szCs w:val="18"/>
              </w:rPr>
            </w:pPr>
          </w:p>
        </w:tc>
      </w:tr>
      <w:tr>
        <w:tc>
          <w:tcPr>
            <w:tcW w:w="1984" w:type="dxa"/>
            <w:vAlign w:val="top"/>
          </w:tcPr>
          <w:p>
            <w:pPr>
              <w:spacing w:after="0"/>
              <w:rPr>
                <w:sz w:val="18"/>
                <w:szCs w:val="20"/>
              </w:rPr>
            </w:pPr>
            <w:r>
              <w:rPr>
                <w:rFonts w:ascii="맑은 고딕" w:eastAsia="맑은 고딕" w:hAnsi="맑은 고딕"/>
                <w:b w:val="0"/>
                <w:sz w:val="18"/>
                <w:szCs w:val="18"/>
              </w:rPr>
              <w:t>기존 콘텐츠</w:t>
            </w:r>
          </w:p>
        </w:tc>
        <w:tc>
          <w:tcPr>
            <w:tcW w:w="7370" w:type="dxa"/>
            <w:vAlign w:val="top"/>
          </w:tcPr>
          <w:p>
            <w:pPr>
              <w:spacing w:after="0"/>
              <w:rPr>
                <w:sz w:val="18"/>
                <w:szCs w:val="20"/>
              </w:rPr>
            </w:pPr>
            <w:r>
              <w:rPr>
                <w:lang w:eastAsia="ko-KR"/>
                <w:sz w:val="18"/>
                <w:szCs w:val="20"/>
                <w:rtl w:val="off"/>
              </w:rPr>
              <w:t xml:space="preserve">밀리의 서재-밀리로드 에세이 「잠시, 오늘」연재 중 </w:t>
            </w:r>
          </w:p>
        </w:tc>
      </w:tr>
      <w:tr>
        <w:tc>
          <w:tcPr>
            <w:tcW w:w="1984" w:type="dxa"/>
            <w:vAlign w:val="top"/>
          </w:tcPr>
          <w:p>
            <w:pPr>
              <w:spacing w:after="0"/>
            </w:pPr>
            <w:r>
              <w:rPr>
                <w:rFonts w:ascii="맑은 고딕" w:eastAsia="맑은 고딕" w:hAnsi="맑은 고딕"/>
                <w:b w:val="0"/>
                <w:sz w:val="18"/>
              </w:rPr>
              <w:t>저자 강점</w:t>
            </w:r>
          </w:p>
        </w:tc>
        <w:tc>
          <w:tcPr>
            <w:tcW w:w="7370" w:type="dxa"/>
            <w:vAlign w:val="top"/>
          </w:tcPr>
          <w:p>
            <w:pPr>
              <w:spacing w:after="0"/>
            </w:pPr>
            <w:r>
              <w:rPr>
                <w:rFonts w:ascii="맑은 고딕" w:eastAsia="맑은 고딕" w:hAnsi="맑은 고딕"/>
                <w:b w:val="0"/>
                <w:sz w:val="18"/>
              </w:rPr>
              <w:t>실제 자사고 자퇴와 학교 밖 1년을 통과한 가족의 현장성, 엄마와 아이의 양쪽 목소리를 함께 담는 서사성, 자퇴를 미화하지 않고 대학 진학 재고려까지 다루는 현실감, 부모 독자의 불안을 정면으로 다루는 공감력.</w:t>
            </w:r>
          </w:p>
        </w:tc>
      </w:tr>
    </w:tbl>
    <w:p/>
    <w:p>
      <w:pPr>
        <w:pStyle w:val="Heading1"/>
        <w:spacing w:after="120" w:before="320"/>
      </w:pPr>
      <w:r>
        <w:rPr>
          <w:rFonts w:ascii="맑은 고딕" w:eastAsia="맑은 고딕" w:hAnsi="맑은 고딕"/>
          <w:color w:val="1F2937"/>
        </w:rPr>
        <w:t>4. 대상 독자</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2592"/>
        <w:gridCol w:w="2592"/>
        <w:gridCol w:w="2592"/>
        <w:gridCol w:w="2592"/>
      </w:tblGrid>
      <w:tr>
        <w:trPr>
          <w:tblHeader/>
        </w:trPr>
        <w:tc>
          <w:tcPr>
            <w:tcW w:w="1417" w:type="dxa"/>
            <w:shd w:val="clear" w:color="auto" w:fill="EEF2F7"/>
            <w:vAlign w:val="center"/>
          </w:tcPr>
          <w:p>
            <w:pPr>
              <w:spacing w:after="0"/>
              <w:rPr>
                <w:sz w:val="16"/>
                <w:szCs w:val="16"/>
              </w:rPr>
            </w:pPr>
            <w:r>
              <w:rPr>
                <w:rFonts w:ascii="맑은 고딕" w:eastAsia="맑은 고딕" w:hAnsi="맑은 고딕"/>
                <w:b/>
                <w:color w:val="1F2937"/>
                <w:sz w:val="16"/>
                <w:szCs w:val="16"/>
              </w:rPr>
              <w:t>구분</w:t>
            </w:r>
          </w:p>
        </w:tc>
        <w:tc>
          <w:tcPr>
            <w:tcW w:w="2665" w:type="dxa"/>
            <w:shd w:val="clear" w:color="auto" w:fill="EEF2F7"/>
            <w:vAlign w:val="center"/>
          </w:tcPr>
          <w:p>
            <w:pPr>
              <w:spacing w:after="0"/>
              <w:rPr>
                <w:sz w:val="16"/>
                <w:szCs w:val="16"/>
              </w:rPr>
            </w:pPr>
            <w:r>
              <w:rPr>
                <w:rFonts w:ascii="맑은 고딕" w:eastAsia="맑은 고딕" w:hAnsi="맑은 고딕"/>
                <w:b/>
                <w:color w:val="1F2937"/>
                <w:sz w:val="16"/>
                <w:szCs w:val="16"/>
              </w:rPr>
              <w:t>독자 정의</w:t>
            </w:r>
          </w:p>
        </w:tc>
        <w:tc>
          <w:tcPr>
            <w:tcW w:w="2665" w:type="dxa"/>
            <w:shd w:val="clear" w:color="auto" w:fill="EEF2F7"/>
            <w:vAlign w:val="center"/>
          </w:tcPr>
          <w:p>
            <w:pPr>
              <w:spacing w:after="0"/>
              <w:rPr>
                <w:sz w:val="16"/>
                <w:szCs w:val="16"/>
              </w:rPr>
            </w:pPr>
            <w:r>
              <w:rPr>
                <w:rFonts w:ascii="맑은 고딕" w:eastAsia="맑은 고딕" w:hAnsi="맑은 고딕"/>
                <w:b/>
                <w:color w:val="1F2937"/>
                <w:sz w:val="16"/>
                <w:szCs w:val="16"/>
              </w:rPr>
              <w:t>필요/문제</w:t>
            </w:r>
          </w:p>
        </w:tc>
        <w:tc>
          <w:tcPr>
            <w:tcW w:w="2665" w:type="dxa"/>
            <w:shd w:val="clear" w:color="auto" w:fill="EEF2F7"/>
            <w:vAlign w:val="center"/>
          </w:tcPr>
          <w:p>
            <w:pPr>
              <w:spacing w:after="0"/>
              <w:rPr>
                <w:sz w:val="16"/>
                <w:szCs w:val="16"/>
              </w:rPr>
            </w:pPr>
            <w:r>
              <w:rPr>
                <w:rFonts w:ascii="맑은 고딕" w:eastAsia="맑은 고딕" w:hAnsi="맑은 고딕"/>
                <w:b/>
                <w:color w:val="1F2937"/>
                <w:sz w:val="16"/>
                <w:szCs w:val="16"/>
              </w:rPr>
              <w:t>책이 제공하는 답</w:t>
            </w:r>
          </w:p>
        </w:tc>
      </w:tr>
      <w:tr>
        <w:tc>
          <w:tcPr>
            <w:tcW w:w="1417" w:type="dxa"/>
            <w:vAlign w:val="top"/>
          </w:tcPr>
          <w:p>
            <w:pPr>
              <w:spacing w:after="0"/>
              <w:rPr>
                <w:sz w:val="16"/>
                <w:szCs w:val="16"/>
              </w:rPr>
            </w:pPr>
            <w:r>
              <w:rPr>
                <w:rFonts w:ascii="맑은 고딕" w:eastAsia="맑은 고딕" w:hAnsi="맑은 고딕"/>
                <w:b w:val="0"/>
                <w:sz w:val="16"/>
                <w:szCs w:val="16"/>
              </w:rPr>
              <w:t>핵심 독자</w:t>
            </w:r>
          </w:p>
        </w:tc>
        <w:tc>
          <w:tcPr>
            <w:tcW w:w="2665" w:type="dxa"/>
            <w:vAlign w:val="top"/>
          </w:tcPr>
          <w:p>
            <w:pPr>
              <w:spacing w:after="0"/>
              <w:rPr>
                <w:sz w:val="16"/>
                <w:szCs w:val="16"/>
              </w:rPr>
            </w:pPr>
            <w:r>
              <w:rPr>
                <w:rFonts w:ascii="맑은 고딕" w:eastAsia="맑은 고딕" w:hAnsi="맑은 고딕"/>
                <w:b w:val="0"/>
                <w:sz w:val="16"/>
                <w:szCs w:val="16"/>
              </w:rPr>
              <w:t>청소년 자녀의 진로·학교생활·자퇴·전학·대안교육 문제로 흔들리는 부모, 특히 “아이를 믿고 싶지만 현실이 두려운” 엄마 독자.</w:t>
            </w:r>
          </w:p>
        </w:tc>
        <w:tc>
          <w:tcPr>
            <w:tcW w:w="2665" w:type="dxa"/>
            <w:vAlign w:val="top"/>
          </w:tcPr>
          <w:p>
            <w:pPr>
              <w:spacing w:after="0"/>
              <w:rPr>
                <w:sz w:val="16"/>
                <w:szCs w:val="16"/>
              </w:rPr>
            </w:pPr>
            <w:r>
              <w:rPr>
                <w:rFonts w:ascii="맑은 고딕" w:eastAsia="맑은 고딕" w:hAnsi="맑은 고딕"/>
                <w:b w:val="0"/>
                <w:sz w:val="16"/>
                <w:szCs w:val="16"/>
              </w:rPr>
              <w:t>자녀가 정해진 길에서 벗어나려 할 때 느끼는 불안, 체면, 죄책감, 통제 욕구. 어디까지 기다리고 어디서 개입해야 하는지 모르는 혼란.</w:t>
            </w:r>
          </w:p>
        </w:tc>
        <w:tc>
          <w:tcPr>
            <w:tcW w:w="2665" w:type="dxa"/>
            <w:vAlign w:val="top"/>
          </w:tcPr>
          <w:p>
            <w:pPr>
              <w:spacing w:after="0"/>
              <w:rPr>
                <w:sz w:val="16"/>
                <w:szCs w:val="16"/>
              </w:rPr>
            </w:pPr>
            <w:r>
              <w:rPr>
                <w:rFonts w:ascii="맑은 고딕" w:eastAsia="맑은 고딕" w:hAnsi="맑은 고딕"/>
                <w:b w:val="0"/>
                <w:sz w:val="16"/>
                <w:szCs w:val="16"/>
              </w:rPr>
              <w:t>자퇴 전후의 실제 감정 흐름, 아이와의 갈등과 수용 과정, 부모의 불안을 다루는 언어, 아이를 독립된 한 사람으로 존중하는 관점.</w:t>
            </w:r>
          </w:p>
        </w:tc>
      </w:tr>
      <w:tr>
        <w:tc>
          <w:tcPr>
            <w:tcW w:w="1417" w:type="dxa"/>
            <w:vAlign w:val="top"/>
          </w:tcPr>
          <w:p>
            <w:pPr>
              <w:spacing w:after="0"/>
              <w:rPr>
                <w:sz w:val="16"/>
                <w:szCs w:val="16"/>
              </w:rPr>
            </w:pPr>
            <w:r>
              <w:rPr>
                <w:rFonts w:ascii="맑은 고딕" w:eastAsia="맑은 고딕" w:hAnsi="맑은 고딕"/>
                <w:b w:val="0"/>
                <w:sz w:val="16"/>
                <w:szCs w:val="16"/>
              </w:rPr>
              <w:t>확장 독자</w:t>
            </w:r>
          </w:p>
        </w:tc>
        <w:tc>
          <w:tcPr>
            <w:tcW w:w="2665" w:type="dxa"/>
            <w:vAlign w:val="top"/>
          </w:tcPr>
          <w:p>
            <w:pPr>
              <w:spacing w:after="0"/>
              <w:rPr>
                <w:sz w:val="16"/>
                <w:szCs w:val="16"/>
              </w:rPr>
            </w:pPr>
            <w:r>
              <w:rPr>
                <w:rFonts w:ascii="맑은 고딕" w:eastAsia="맑은 고딕" w:hAnsi="맑은 고딕"/>
                <w:b w:val="0"/>
                <w:sz w:val="16"/>
                <w:szCs w:val="16"/>
              </w:rPr>
              <w:t>부모의 기대와 자기 삶 사이에서 흔들렸던 청소년·청년, 학교 밖 청소년을 만나는 교사·상담사·멘토, 청소년 진로와 대안교육에 관심 있는 독자.</w:t>
            </w:r>
          </w:p>
        </w:tc>
        <w:tc>
          <w:tcPr>
            <w:tcW w:w="2665" w:type="dxa"/>
            <w:vAlign w:val="top"/>
          </w:tcPr>
          <w:p>
            <w:pPr>
              <w:spacing w:after="0"/>
              <w:rPr>
                <w:sz w:val="16"/>
                <w:szCs w:val="16"/>
              </w:rPr>
            </w:pPr>
            <w:r>
              <w:rPr>
                <w:rFonts w:ascii="맑은 고딕" w:eastAsia="맑은 고딕" w:hAnsi="맑은 고딕"/>
                <w:b w:val="0"/>
                <w:sz w:val="16"/>
                <w:szCs w:val="16"/>
              </w:rPr>
              <w:t>부모와 자녀가 같은 사건을 다르게 경험한다는 점을 이해하고 싶음. 학교 밖 선택의 현실과 제도권 재진입 또는 대학 진학 고민을 균형 있게 보고 싶음.</w:t>
            </w:r>
          </w:p>
        </w:tc>
        <w:tc>
          <w:tcPr>
            <w:tcW w:w="2665" w:type="dxa"/>
            <w:vAlign w:val="top"/>
          </w:tcPr>
          <w:p>
            <w:pPr>
              <w:spacing w:after="0"/>
              <w:rPr>
                <w:sz w:val="16"/>
                <w:szCs w:val="16"/>
              </w:rPr>
            </w:pPr>
            <w:r>
              <w:rPr>
                <w:rFonts w:ascii="맑은 고딕" w:eastAsia="맑은 고딕" w:hAnsi="맑은 고딕"/>
                <w:b w:val="0"/>
                <w:sz w:val="16"/>
                <w:szCs w:val="16"/>
              </w:rPr>
              <w:t>엄마의 서술과 아이의 글을 병치해 양쪽 감정을 함께 보여주고, 자퇴를 성공담이나 실패담이 아닌 성장 과정으로 읽게 함.</w:t>
            </w:r>
          </w:p>
        </w:tc>
      </w:tr>
      <w:tr>
        <w:tc>
          <w:tcPr>
            <w:tcW w:w="1417" w:type="dxa"/>
            <w:vAlign w:val="top"/>
          </w:tcPr>
          <w:p>
            <w:pPr>
              <w:spacing w:after="0"/>
              <w:rPr>
                <w:sz w:val="16"/>
                <w:szCs w:val="16"/>
              </w:rPr>
            </w:pPr>
            <w:r>
              <w:rPr>
                <w:rFonts w:ascii="맑은 고딕" w:eastAsia="맑은 고딕" w:hAnsi="맑은 고딕"/>
                <w:b w:val="0"/>
                <w:sz w:val="16"/>
                <w:szCs w:val="16"/>
              </w:rPr>
              <w:t>비대상 독자</w:t>
            </w:r>
          </w:p>
        </w:tc>
        <w:tc>
          <w:tcPr>
            <w:tcW w:w="2665" w:type="dxa"/>
            <w:vAlign w:val="top"/>
          </w:tcPr>
          <w:p>
            <w:pPr>
              <w:spacing w:after="0"/>
              <w:rPr>
                <w:sz w:val="16"/>
                <w:szCs w:val="16"/>
              </w:rPr>
            </w:pPr>
            <w:r>
              <w:rPr>
                <w:rFonts w:ascii="맑은 고딕" w:eastAsia="맑은 고딕" w:hAnsi="맑은 고딕"/>
                <w:b w:val="0"/>
                <w:sz w:val="16"/>
                <w:szCs w:val="16"/>
              </w:rPr>
              <w:t>자퇴를 즉각적인 해답으로 제시하는 실용 매뉴얼만 원하는 독자, 특정 입시 전략이나 제도 이용 정보를 중심으로 찾는 독자, 극적인 성공담만 기대하는 독자.</w:t>
            </w:r>
          </w:p>
        </w:tc>
        <w:tc>
          <w:tcPr>
            <w:tcW w:w="2665" w:type="dxa"/>
            <w:vAlign w:val="top"/>
          </w:tcPr>
          <w:p>
            <w:pPr>
              <w:spacing w:after="0"/>
              <w:rPr>
                <w:sz w:val="16"/>
                <w:szCs w:val="16"/>
              </w:rPr>
            </w:pPr>
            <w:r>
              <w:rPr>
                <w:rFonts w:ascii="맑은 고딕" w:eastAsia="맑은 고딕" w:hAnsi="맑은 고딕"/>
                <w:b w:val="0"/>
                <w:sz w:val="16"/>
                <w:szCs w:val="16"/>
              </w:rPr>
              <w:t>정서적 회고·가족 서사보다 정보성 가이드나 입시 전략을 원할 가능성이 큼.</w:t>
            </w:r>
          </w:p>
        </w:tc>
        <w:tc>
          <w:tcPr>
            <w:tcW w:w="2665" w:type="dxa"/>
            <w:vAlign w:val="top"/>
          </w:tcPr>
          <w:p>
            <w:pPr>
              <w:spacing w:after="0"/>
              <w:rPr>
                <w:sz w:val="16"/>
                <w:szCs w:val="16"/>
              </w:rPr>
            </w:pPr>
            <w:r>
              <w:rPr>
                <w:rFonts w:ascii="맑은 고딕" w:eastAsia="맑은 고딕" w:hAnsi="맑은 고딕"/>
                <w:b w:val="0"/>
                <w:sz w:val="16"/>
                <w:szCs w:val="16"/>
              </w:rPr>
              <w:t>마케팅에서는 “자퇴 방법서”, “입시 로드맵”, “성공 신화”처럼 오해될 수 있는 문구를 피하고, 부모 성장 에세이이자 현실적인 가족 회고록임을 명확히 함.</w:t>
            </w:r>
          </w:p>
        </w:tc>
      </w:tr>
    </w:tbl>
    <w:p/>
    <w:p>
      <w:pPr>
        <w:pStyle w:val="Heading1"/>
        <w:spacing w:after="120" w:before="320"/>
      </w:pPr>
      <w:r>
        <w:rPr>
          <w:rFonts w:ascii="맑은 고딕" w:eastAsia="맑은 고딕" w:hAnsi="맑은 고딕"/>
          <w:color w:val="1F2937"/>
        </w:rPr>
        <w:t>5. 시장성과 경쟁도서</w:t>
      </w:r>
    </w:p>
    <w:p>
      <w:pPr>
        <w:spacing w:after="80" w:line="276" w:lineRule="auto"/>
      </w:pPr>
      <w:r>
        <w:rPr>
          <w:rFonts w:ascii="맑은 고딕" w:eastAsia="맑은 고딕" w:hAnsi="맑은 고딕"/>
          <w:sz w:val="20"/>
        </w:rPr>
        <w:t>2025 학교 밖 청소년 실태조사 보도자료에 따르면 2023년 조사 대비 검정고시 준비와 대학진학 준비 비율이 증가해, 학교 밖 청소년의 학업·진학 수요가 커지는 흐름이 확인됩니다. 이는 자퇴 이후의 삶을 단순한 이탈이 아니라 학업·진로·사회적 관계를 재구성하는 과정으로 다루는 콘텐츠의 필요성을 보여줍니다.</w:t>
      </w:r>
    </w:p>
    <w:p>
      <w:pPr>
        <w:spacing w:after="80" w:line="276" w:lineRule="auto"/>
        <w:rPr>
          <w:lang/>
          <w:rFonts w:ascii="맑은 고딕" w:eastAsia="맑은 고딕" w:hAnsi="맑은 고딕"/>
          <w:sz w:val="20"/>
          <w:rtl w:val="off"/>
        </w:rPr>
      </w:pPr>
      <w:r>
        <w:rPr>
          <w:rFonts w:ascii="맑은 고딕" w:eastAsia="맑은 고딕" w:hAnsi="맑은 고딕"/>
          <w:sz w:val="20"/>
        </w:rPr>
        <w:t>온라인 서점의 좋은부모·육아에세이 카테고리에서는 부모의 불안, 사춘기 자녀와의 관계, 아이의 세계 이해를 다루는 도서가 꾸준히 노출됩니다. 한편 학교 밖 청소년 관련 도서는 당사자 에세이와 실용 가이드가 존재하지만, “엄마의 내면 변화”와 “아이의 독립된 목소리”를 교차 구성하고, 자퇴 후 대학 진학을 재선택으로 바라보는 책은 상대적으로 드뭅니다.</w:t>
      </w:r>
    </w:p>
    <w:p>
      <w:pPr>
        <w:spacing w:after="80" w:line="276" w:lineRule="auto"/>
      </w:pP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2592"/>
        <w:gridCol w:w="2592"/>
        <w:gridCol w:w="2592"/>
        <w:gridCol w:w="2592"/>
      </w:tblGrid>
      <w:tr>
        <w:trPr>
          <w:tblHeader/>
        </w:trPr>
        <w:tc>
          <w:tcPr>
            <w:tcW w:w="1984" w:type="dxa"/>
            <w:shd w:val="clear" w:color="auto" w:fill="EEF2F7"/>
            <w:vAlign w:val="center"/>
          </w:tcPr>
          <w:p>
            <w:pPr>
              <w:spacing w:after="0"/>
              <w:rPr>
                <w:sz w:val="16"/>
                <w:szCs w:val="16"/>
              </w:rPr>
            </w:pPr>
            <w:r>
              <w:rPr>
                <w:rFonts w:ascii="맑은 고딕" w:eastAsia="맑은 고딕" w:hAnsi="맑은 고딕"/>
                <w:b/>
                <w:color w:val="1F2937"/>
                <w:sz w:val="16"/>
                <w:szCs w:val="16"/>
              </w:rPr>
              <w:t>경쟁/유사 콘텐츠</w:t>
            </w:r>
          </w:p>
        </w:tc>
        <w:tc>
          <w:tcPr>
            <w:tcW w:w="2381" w:type="dxa"/>
            <w:shd w:val="clear" w:color="auto" w:fill="EEF2F7"/>
            <w:vAlign w:val="center"/>
          </w:tcPr>
          <w:p>
            <w:pPr>
              <w:spacing w:after="0"/>
              <w:rPr>
                <w:sz w:val="16"/>
                <w:szCs w:val="16"/>
              </w:rPr>
            </w:pPr>
            <w:r>
              <w:rPr>
                <w:rFonts w:ascii="맑은 고딕" w:eastAsia="맑은 고딕" w:hAnsi="맑은 고딕"/>
                <w:b/>
                <w:color w:val="1F2937"/>
                <w:sz w:val="16"/>
                <w:szCs w:val="16"/>
              </w:rPr>
              <w:t>강점</w:t>
            </w:r>
          </w:p>
        </w:tc>
        <w:tc>
          <w:tcPr>
            <w:tcW w:w="2381" w:type="dxa"/>
            <w:shd w:val="clear" w:color="auto" w:fill="EEF2F7"/>
            <w:vAlign w:val="center"/>
          </w:tcPr>
          <w:p>
            <w:pPr>
              <w:spacing w:after="0"/>
              <w:rPr>
                <w:sz w:val="16"/>
                <w:szCs w:val="16"/>
              </w:rPr>
            </w:pPr>
            <w:r>
              <w:rPr>
                <w:rFonts w:ascii="맑은 고딕" w:eastAsia="맑은 고딕" w:hAnsi="맑은 고딕"/>
                <w:b/>
                <w:color w:val="1F2937"/>
                <w:sz w:val="16"/>
                <w:szCs w:val="16"/>
              </w:rPr>
              <w:t>한계 또는 빈틈</w:t>
            </w:r>
          </w:p>
        </w:tc>
        <w:tc>
          <w:tcPr>
            <w:tcW w:w="2721" w:type="dxa"/>
            <w:shd w:val="clear" w:color="auto" w:fill="EEF2F7"/>
            <w:vAlign w:val="center"/>
          </w:tcPr>
          <w:p>
            <w:pPr>
              <w:spacing w:after="0"/>
              <w:rPr>
                <w:sz w:val="16"/>
                <w:szCs w:val="16"/>
              </w:rPr>
            </w:pPr>
            <w:r>
              <w:rPr>
                <w:rFonts w:ascii="맑은 고딕" w:eastAsia="맑은 고딕" w:hAnsi="맑은 고딕"/>
                <w:b/>
                <w:color w:val="1F2937"/>
                <w:sz w:val="16"/>
                <w:szCs w:val="16"/>
              </w:rPr>
              <w:t>우리 책의 차별화</w:t>
            </w:r>
          </w:p>
        </w:tc>
      </w:tr>
      <w:tr>
        <w:tc>
          <w:tcPr>
            <w:tcW w:w="1984" w:type="dxa"/>
            <w:vAlign w:val="top"/>
          </w:tcPr>
          <w:p>
            <w:pPr>
              <w:spacing w:after="0"/>
              <w:rPr>
                <w:sz w:val="16"/>
                <w:szCs w:val="16"/>
              </w:rPr>
            </w:pPr>
            <w:r>
              <w:rPr>
                <w:rFonts w:ascii="맑은 고딕" w:eastAsia="맑은 고딕" w:hAnsi="맑은 고딕"/>
                <w:b w:val="0"/>
                <w:sz w:val="16"/>
                <w:szCs w:val="16"/>
              </w:rPr>
              <w:t>『열다섯, 그래도 자퇴하겠습니다』</w:t>
            </w:r>
          </w:p>
        </w:tc>
        <w:tc>
          <w:tcPr>
            <w:tcW w:w="2381" w:type="dxa"/>
            <w:vAlign w:val="top"/>
          </w:tcPr>
          <w:p>
            <w:pPr>
              <w:spacing w:after="0"/>
              <w:rPr>
                <w:sz w:val="16"/>
                <w:szCs w:val="16"/>
              </w:rPr>
            </w:pPr>
            <w:r>
              <w:rPr>
                <w:rFonts w:ascii="맑은 고딕" w:eastAsia="맑은 고딕" w:hAnsi="맑은 고딕"/>
                <w:b w:val="0"/>
                <w:sz w:val="16"/>
                <w:szCs w:val="16"/>
              </w:rPr>
              <w:t>학교 밖 청소년 당사자의 실제 경험, 편견과 차별을 다루는 사회적 메시지, “자퇴를 장려하지 않는다”는 균형감.</w:t>
            </w:r>
          </w:p>
        </w:tc>
        <w:tc>
          <w:tcPr>
            <w:tcW w:w="2381" w:type="dxa"/>
            <w:vAlign w:val="top"/>
          </w:tcPr>
          <w:p>
            <w:pPr>
              <w:spacing w:after="0"/>
              <w:rPr>
                <w:sz w:val="16"/>
                <w:szCs w:val="16"/>
              </w:rPr>
            </w:pPr>
            <w:r>
              <w:rPr>
                <w:rFonts w:ascii="맑은 고딕" w:eastAsia="맑은 고딕" w:hAnsi="맑은 고딕"/>
                <w:b w:val="0"/>
                <w:sz w:val="16"/>
                <w:szCs w:val="16"/>
              </w:rPr>
              <w:t>당사자 1인칭 에세이에 무게가 있으며, 부모 내면의 불안·통제·수용 과정을 중심 서사로 다루지는 않음.</w:t>
            </w:r>
          </w:p>
        </w:tc>
        <w:tc>
          <w:tcPr>
            <w:tcW w:w="2721" w:type="dxa"/>
            <w:vAlign w:val="top"/>
          </w:tcPr>
          <w:p>
            <w:pPr>
              <w:spacing w:after="0"/>
              <w:rPr>
                <w:sz w:val="16"/>
                <w:szCs w:val="16"/>
              </w:rPr>
            </w:pPr>
            <w:r>
              <w:rPr>
                <w:rFonts w:ascii="맑은 고딕" w:eastAsia="맑은 고딕" w:hAnsi="맑은 고딕"/>
                <w:b w:val="0"/>
                <w:sz w:val="16"/>
                <w:szCs w:val="16"/>
              </w:rPr>
              <w:t>엄마의 성장 서사를 중심에 두되 아이의 글을 독립 장치로 배치해 양쪽 목소리를 함께 보여줌.</w:t>
            </w:r>
          </w:p>
        </w:tc>
      </w:tr>
      <w:tr>
        <w:tc>
          <w:tcPr>
            <w:tcW w:w="1984" w:type="dxa"/>
            <w:vAlign w:val="top"/>
          </w:tcPr>
          <w:p>
            <w:pPr>
              <w:spacing w:after="0"/>
              <w:rPr>
                <w:sz w:val="16"/>
                <w:szCs w:val="16"/>
              </w:rPr>
            </w:pPr>
            <w:r>
              <w:rPr>
                <w:rFonts w:ascii="맑은 고딕" w:eastAsia="맑은 고딕" w:hAnsi="맑은 고딕"/>
                <w:b w:val="0"/>
                <w:sz w:val="16"/>
                <w:szCs w:val="16"/>
              </w:rPr>
              <w:t>『학교 밖이 궁금한 사람들에게』</w:t>
            </w:r>
          </w:p>
        </w:tc>
        <w:tc>
          <w:tcPr>
            <w:tcW w:w="2381" w:type="dxa"/>
            <w:vAlign w:val="top"/>
          </w:tcPr>
          <w:p>
            <w:pPr>
              <w:spacing w:after="0"/>
              <w:rPr>
                <w:sz w:val="16"/>
                <w:szCs w:val="16"/>
              </w:rPr>
            </w:pPr>
            <w:r>
              <w:rPr>
                <w:rFonts w:ascii="맑은 고딕" w:eastAsia="맑은 고딕" w:hAnsi="맑은 고딕"/>
                <w:b w:val="0"/>
                <w:sz w:val="16"/>
                <w:szCs w:val="16"/>
              </w:rPr>
              <w:t>청소년 3명과 대안학교 교사의 공동 저술. 관계·진로·학업·제도 이용까지 실질적인 안내와 50개 질문 구조를 제공.</w:t>
            </w:r>
          </w:p>
        </w:tc>
        <w:tc>
          <w:tcPr>
            <w:tcW w:w="2381" w:type="dxa"/>
            <w:vAlign w:val="top"/>
          </w:tcPr>
          <w:p>
            <w:pPr>
              <w:spacing w:after="0"/>
              <w:rPr>
                <w:sz w:val="16"/>
                <w:szCs w:val="16"/>
              </w:rPr>
            </w:pPr>
            <w:r>
              <w:rPr>
                <w:rFonts w:ascii="맑은 고딕" w:eastAsia="맑은 고딕" w:hAnsi="맑은 고딕"/>
                <w:b w:val="0"/>
                <w:sz w:val="16"/>
                <w:szCs w:val="16"/>
              </w:rPr>
              <w:t>정보성과 안내성이 강해 한 가족의 깊은 감정 변화, 자사고 자퇴라는 구체 서사, 엄마와 아이의 관계 회복을 길게 따라가지는 않음.</w:t>
            </w:r>
          </w:p>
        </w:tc>
        <w:tc>
          <w:tcPr>
            <w:tcW w:w="2721" w:type="dxa"/>
            <w:vAlign w:val="top"/>
          </w:tcPr>
          <w:p>
            <w:pPr>
              <w:spacing w:after="0"/>
              <w:rPr>
                <w:sz w:val="16"/>
                <w:szCs w:val="16"/>
              </w:rPr>
            </w:pPr>
            <w:r>
              <w:rPr>
                <w:rFonts w:ascii="맑은 고딕" w:eastAsia="맑은 고딕" w:hAnsi="맑은 고딕"/>
                <w:b w:val="0"/>
                <w:sz w:val="16"/>
                <w:szCs w:val="16"/>
              </w:rPr>
              <w:t>가이드북이 아니라 장면 중심 회고록으로, 부모 독자가 자신의 불안을 투사하고 돌아볼 수 있는 감정적 몰입을 제공.</w:t>
            </w:r>
          </w:p>
        </w:tc>
      </w:tr>
      <w:tr>
        <w:tc>
          <w:tcPr>
            <w:tcW w:w="1984" w:type="dxa"/>
            <w:vAlign w:val="top"/>
          </w:tcPr>
          <w:p>
            <w:pPr>
              <w:spacing w:after="0"/>
              <w:rPr>
                <w:sz w:val="16"/>
                <w:szCs w:val="16"/>
              </w:rPr>
            </w:pPr>
            <w:r>
              <w:rPr>
                <w:rFonts w:ascii="맑은 고딕" w:eastAsia="맑은 고딕" w:hAnsi="맑은 고딕"/>
                <w:b w:val="0"/>
                <w:sz w:val="16"/>
                <w:szCs w:val="16"/>
              </w:rPr>
              <w:t>『자퇴 상담: 학교를 떠나는 아이들』</w:t>
            </w:r>
          </w:p>
        </w:tc>
        <w:tc>
          <w:tcPr>
            <w:tcW w:w="2381" w:type="dxa"/>
            <w:vAlign w:val="top"/>
          </w:tcPr>
          <w:p>
            <w:pPr>
              <w:spacing w:after="0"/>
              <w:rPr>
                <w:sz w:val="16"/>
                <w:szCs w:val="16"/>
              </w:rPr>
            </w:pPr>
            <w:r>
              <w:rPr>
                <w:rFonts w:ascii="맑은 고딕" w:eastAsia="맑은 고딕" w:hAnsi="맑은 고딕"/>
                <w:b w:val="0"/>
                <w:sz w:val="16"/>
                <w:szCs w:val="16"/>
              </w:rPr>
              <w:t>자퇴 유형, 자퇴 동기, 상담 방법 등 교사·학부모에게 필요한 이해 틀을 제공.</w:t>
            </w:r>
          </w:p>
        </w:tc>
        <w:tc>
          <w:tcPr>
            <w:tcW w:w="2381" w:type="dxa"/>
            <w:vAlign w:val="top"/>
          </w:tcPr>
          <w:p>
            <w:pPr>
              <w:spacing w:after="0"/>
              <w:rPr>
                <w:sz w:val="16"/>
                <w:szCs w:val="16"/>
              </w:rPr>
            </w:pPr>
            <w:r>
              <w:rPr>
                <w:rFonts w:ascii="맑은 고딕" w:eastAsia="맑은 고딕" w:hAnsi="맑은 고딕"/>
                <w:b w:val="0"/>
                <w:sz w:val="16"/>
                <w:szCs w:val="16"/>
              </w:rPr>
              <w:t>출간 시점이 오래되었고 상담·유형화 중심이라 최근 학교 밖 청소년의 진학 수요, 가족 서사의 현재성을 충분히 담기 어렵다.</w:t>
            </w:r>
          </w:p>
        </w:tc>
        <w:tc>
          <w:tcPr>
            <w:tcW w:w="2721" w:type="dxa"/>
            <w:vAlign w:val="top"/>
          </w:tcPr>
          <w:p>
            <w:pPr>
              <w:spacing w:after="0"/>
              <w:rPr>
                <w:sz w:val="16"/>
                <w:szCs w:val="16"/>
              </w:rPr>
            </w:pPr>
            <w:r>
              <w:rPr>
                <w:rFonts w:ascii="맑은 고딕" w:eastAsia="맑은 고딕" w:hAnsi="맑은 고딕"/>
                <w:b w:val="0"/>
                <w:sz w:val="16"/>
                <w:szCs w:val="16"/>
              </w:rPr>
              <w:t>2026년 현재 독자가 공감할 수 있는 자퇴 후 1년, 검정고시·대학 재고려, 부모의 불안 재발을 실제 서사로 제시.</w:t>
            </w:r>
          </w:p>
        </w:tc>
      </w:tr>
      <w:tr>
        <w:tc>
          <w:tcPr>
            <w:tcW w:w="1984" w:type="dxa"/>
            <w:vAlign w:val="top"/>
          </w:tcPr>
          <w:p>
            <w:pPr>
              <w:spacing w:after="0"/>
              <w:rPr>
                <w:sz w:val="16"/>
                <w:szCs w:val="16"/>
              </w:rPr>
            </w:pPr>
            <w:r>
              <w:rPr>
                <w:rFonts w:ascii="맑은 고딕" w:eastAsia="맑은 고딕" w:hAnsi="맑은 고딕"/>
                <w:b w:val="0"/>
                <w:sz w:val="16"/>
                <w:szCs w:val="16"/>
              </w:rPr>
              <w:t>『자퇴할까 학교에 남을까』</w:t>
            </w:r>
          </w:p>
        </w:tc>
        <w:tc>
          <w:tcPr>
            <w:tcW w:w="2381" w:type="dxa"/>
            <w:vAlign w:val="top"/>
          </w:tcPr>
          <w:p>
            <w:pPr>
              <w:spacing w:after="0"/>
              <w:rPr>
                <w:sz w:val="16"/>
                <w:szCs w:val="16"/>
              </w:rPr>
            </w:pPr>
            <w:r>
              <w:rPr>
                <w:rFonts w:ascii="맑은 고딕" w:eastAsia="맑은 고딕" w:hAnsi="맑은 고딕"/>
                <w:b w:val="0"/>
                <w:sz w:val="16"/>
                <w:szCs w:val="16"/>
              </w:rPr>
              <w:t>자퇴를 고민하는 학생·교사·학부모를 위한 가이드북 성격. 자퇴 여부를 신중하게 판단하도록 돕는 장점.</w:t>
            </w:r>
          </w:p>
        </w:tc>
        <w:tc>
          <w:tcPr>
            <w:tcW w:w="2381" w:type="dxa"/>
            <w:vAlign w:val="top"/>
          </w:tcPr>
          <w:p>
            <w:pPr>
              <w:spacing w:after="0"/>
              <w:rPr>
                <w:sz w:val="16"/>
                <w:szCs w:val="16"/>
              </w:rPr>
            </w:pPr>
            <w:r>
              <w:rPr>
                <w:rFonts w:ascii="맑은 고딕" w:eastAsia="맑은 고딕" w:hAnsi="맑은 고딕"/>
                <w:b w:val="0"/>
                <w:sz w:val="16"/>
                <w:szCs w:val="16"/>
              </w:rPr>
              <w:t>결정 전 상담과 판단에 무게가 있어, 자퇴 결정 이후 가족이 겪는 장기 감정의 변화와 관계 재구성은 상대적으로 약함.</w:t>
            </w:r>
          </w:p>
        </w:tc>
        <w:tc>
          <w:tcPr>
            <w:tcW w:w="2721" w:type="dxa"/>
            <w:vAlign w:val="top"/>
          </w:tcPr>
          <w:p>
            <w:pPr>
              <w:spacing w:after="0"/>
              <w:rPr>
                <w:sz w:val="16"/>
                <w:szCs w:val="16"/>
              </w:rPr>
            </w:pPr>
            <w:r>
              <w:rPr>
                <w:rFonts w:ascii="맑은 고딕" w:eastAsia="맑은 고딕" w:hAnsi="맑은 고딕"/>
                <w:b w:val="0"/>
                <w:sz w:val="16"/>
                <w:szCs w:val="16"/>
              </w:rPr>
              <w:t>자퇴 결정 전후를 모두 다루되, 특히 “허락 이후의 진짜 시험”과 “제도와 다시 관계 맺는 성숙”을 서사의 핵심으로 삼음.</w:t>
            </w:r>
          </w:p>
        </w:tc>
      </w:tr>
      <w:tr>
        <w:tc>
          <w:tcPr>
            <w:tcW w:w="1984" w:type="dxa"/>
            <w:vAlign w:val="top"/>
          </w:tcPr>
          <w:p>
            <w:pPr>
              <w:spacing w:after="0"/>
              <w:rPr>
                <w:sz w:val="16"/>
                <w:szCs w:val="16"/>
              </w:rPr>
            </w:pPr>
            <w:r>
              <w:rPr>
                <w:rFonts w:ascii="맑은 고딕" w:eastAsia="맑은 고딕" w:hAnsi="맑은 고딕"/>
                <w:b w:val="0"/>
                <w:sz w:val="16"/>
                <w:szCs w:val="16"/>
              </w:rPr>
              <w:t>부모 불안·사춘기 양육 에세이 일반</w:t>
            </w:r>
          </w:p>
        </w:tc>
        <w:tc>
          <w:tcPr>
            <w:tcW w:w="2381" w:type="dxa"/>
            <w:vAlign w:val="top"/>
          </w:tcPr>
          <w:p>
            <w:pPr>
              <w:spacing w:after="0"/>
              <w:rPr>
                <w:sz w:val="16"/>
                <w:szCs w:val="16"/>
              </w:rPr>
            </w:pPr>
            <w:r>
              <w:rPr>
                <w:rFonts w:ascii="맑은 고딕" w:eastAsia="맑은 고딕" w:hAnsi="맑은 고딕"/>
                <w:b w:val="0"/>
                <w:sz w:val="16"/>
                <w:szCs w:val="16"/>
              </w:rPr>
              <w:t>부모의 감정 조절, 아이의 세계 이해, 믿고 기다리는 태도 등 넓은 부모 독자층에게 호소력이 큼.</w:t>
            </w:r>
          </w:p>
        </w:tc>
        <w:tc>
          <w:tcPr>
            <w:tcW w:w="2381" w:type="dxa"/>
            <w:vAlign w:val="top"/>
          </w:tcPr>
          <w:p>
            <w:pPr>
              <w:spacing w:after="0"/>
              <w:rPr>
                <w:sz w:val="16"/>
                <w:szCs w:val="16"/>
              </w:rPr>
            </w:pPr>
            <w:r>
              <w:rPr>
                <w:rFonts w:ascii="맑은 고딕" w:eastAsia="맑은 고딕" w:hAnsi="맑은 고딕"/>
                <w:b w:val="0"/>
                <w:sz w:val="16"/>
                <w:szCs w:val="16"/>
              </w:rPr>
              <w:t>자퇴·학교 밖·대학 재선택이라는 구체 사건이 없으면 메시지가 일반론에 머무르기 쉬움.</w:t>
            </w:r>
          </w:p>
        </w:tc>
        <w:tc>
          <w:tcPr>
            <w:tcW w:w="2721" w:type="dxa"/>
            <w:vAlign w:val="top"/>
          </w:tcPr>
          <w:p>
            <w:pPr>
              <w:spacing w:after="0"/>
              <w:rPr>
                <w:sz w:val="16"/>
                <w:szCs w:val="16"/>
              </w:rPr>
            </w:pPr>
            <w:r>
              <w:rPr>
                <w:rFonts w:ascii="맑은 고딕" w:eastAsia="맑은 고딕" w:hAnsi="맑은 고딕"/>
                <w:b w:val="0"/>
                <w:sz w:val="16"/>
                <w:szCs w:val="16"/>
              </w:rPr>
              <w:t>자사고 자퇴라는 선명한 사건과 엄마의 내면 성장, 아이의 실제 목소리를 결합해 보편성과 구체성을 동시에 확보.</w:t>
            </w:r>
          </w:p>
        </w:tc>
      </w:tr>
    </w:tbl>
    <w:p/>
    <w:p>
      <w:pPr>
        <w:pStyle w:val="Heading1"/>
        <w:spacing w:after="120" w:before="320"/>
      </w:pPr>
      <w:r>
        <w:rPr>
          <w:rFonts w:ascii="맑은 고딕" w:eastAsia="맑은 고딕" w:hAnsi="맑은 고딕"/>
          <w:color w:val="1F2937"/>
        </w:rPr>
        <w:t>6. 차별화 포인트</w:t>
      </w:r>
    </w:p>
    <w:p>
      <w:pPr>
        <w:pStyle w:val="Heading2"/>
        <w:spacing w:after="80" w:before="160"/>
      </w:pPr>
      <w:r>
        <w:rPr>
          <w:rFonts w:ascii="맑은 고딕" w:eastAsia="맑은 고딕" w:hAnsi="맑은 고딕"/>
          <w:color w:val="374151"/>
        </w:rPr>
        <w:t>저자의 현장 경험 또는 고유한 관점</w:t>
      </w:r>
    </w:p>
    <w:p>
      <w:pPr>
        <w:spacing w:after="80" w:line="276" w:lineRule="auto"/>
      </w:pPr>
      <w:r>
        <w:rPr>
          <w:rFonts w:ascii="맑은 고딕" w:eastAsia="맑은 고딕" w:hAnsi="맑은 고딕"/>
          <w:sz w:val="20"/>
        </w:rPr>
        <w:t>저자는 자사고 자퇴라는 구체적이고 민감한 선택을 아이와 함께 통과한 부모입니다. 자퇴를 “옳은 선택”으로 포장하기보다, 선택 이후 찾아온 공백·불안·흔들림까지 기록한다는 점에서 현장성이 큽니다. 특히 자퇴 후 1년을 지나 아이가 세상의 시선을 수용하고 대학 진학을 다시 고려하게 되는 과정을 “복귀”가 아니라 “재선택”으로 해석하는 관점이 차별적입니다.</w:t>
      </w:r>
    </w:p>
    <w:p>
      <w:pPr>
        <w:pStyle w:val="Heading2"/>
        <w:spacing w:after="80" w:before="160"/>
      </w:pPr>
      <w:r>
        <w:rPr>
          <w:rFonts w:ascii="맑은 고딕" w:eastAsia="맑은 고딕" w:hAnsi="맑은 고딕"/>
          <w:color w:val="374151"/>
        </w:rPr>
        <w:t>구성상의 차별점</w:t>
      </w:r>
    </w:p>
    <w:p>
      <w:pPr>
        <w:pStyle w:val="ListBullet"/>
        <w:spacing w:after="40"/>
      </w:pPr>
      <w:r>
        <w:rPr>
          <w:rFonts w:ascii="맑은 고딕" w:eastAsia="맑은 고딕" w:hAnsi="맑은 고딕"/>
          <w:sz w:val="19"/>
        </w:rPr>
        <w:t>엄마의 회고와 아이의 편지·일기·메모를 장 사이에 교차 배치합니다.</w:t>
      </w:r>
    </w:p>
    <w:p>
      <w:pPr>
        <w:pStyle w:val="ListBullet"/>
        <w:spacing w:after="40"/>
      </w:pPr>
      <w:r>
        <w:rPr>
          <w:rFonts w:ascii="맑은 고딕" w:eastAsia="맑은 고딕" w:hAnsi="맑은 고딕"/>
          <w:sz w:val="19"/>
        </w:rPr>
        <w:t>같은 사건을 엄마와 아이가 다르게 기억하는 순간을 살려, 가족 갈등을 입체적으로 보여줍니다.</w:t>
      </w:r>
    </w:p>
    <w:p>
      <w:pPr>
        <w:pStyle w:val="ListBullet"/>
        <w:spacing w:after="40"/>
      </w:pPr>
      <w:r>
        <w:rPr>
          <w:rFonts w:ascii="맑은 고딕" w:eastAsia="맑은 고딕" w:hAnsi="맑은 고딕"/>
          <w:sz w:val="19"/>
        </w:rPr>
        <w:t>자퇴 선언, 밤샘 식탁 대화, 자퇴서에 도장을 찍던 날, 학교 밖 공백기, 대학 재고려의 순간 등 강한 장면 중심으로 구성합니다.</w:t>
      </w:r>
    </w:p>
    <w:p>
      <w:pPr>
        <w:pStyle w:val="ListBullet"/>
        <w:spacing w:after="40"/>
      </w:pPr>
      <w:r>
        <w:rPr>
          <w:rFonts w:ascii="맑은 고딕" w:eastAsia="맑은 고딕" w:hAnsi="맑은 고딕"/>
          <w:sz w:val="19"/>
        </w:rPr>
        <w:t>자퇴를 권하거나 미화하지 않고, 부모의 불안과 아이의 흔들림을 함께 다룹니다.</w:t>
      </w:r>
    </w:p>
    <w:p>
      <w:pPr>
        <w:pStyle w:val="Heading2"/>
        <w:spacing w:after="80" w:before="160"/>
      </w:pPr>
      <w:r>
        <w:rPr>
          <w:rFonts w:ascii="맑은 고딕" w:eastAsia="맑은 고딕" w:hAnsi="맑은 고딕"/>
          <w:color w:val="374151"/>
        </w:rPr>
        <w:t>독자 행동을 바꾸는 장치</w:t>
      </w:r>
    </w:p>
    <w:p>
      <w:pPr>
        <w:pStyle w:val="ListBullet"/>
        <w:spacing w:after="40"/>
      </w:pPr>
      <w:r>
        <w:rPr>
          <w:rFonts w:ascii="맑은 고딕" w:eastAsia="맑은 고딕" w:hAnsi="맑은 고딕"/>
          <w:sz w:val="19"/>
        </w:rPr>
        <w:t>각 장 말미에 “엄마의 질문”을 배치해 독자가 자기 불안을 점검하도록 합니다.</w:t>
      </w:r>
    </w:p>
    <w:p>
      <w:pPr>
        <w:pStyle w:val="ListBullet"/>
        <w:spacing w:after="40"/>
      </w:pPr>
      <w:r>
        <w:rPr>
          <w:rFonts w:ascii="맑은 고딕" w:eastAsia="맑은 고딕" w:hAnsi="맑은 고딕"/>
          <w:sz w:val="19"/>
        </w:rPr>
        <w:t>부록으로 “아이의 선택 앞에서 부모가 스스로에게 던져볼 질문” 체크리스트를 제안할 수 있습니다.</w:t>
      </w:r>
    </w:p>
    <w:p>
      <w:pPr>
        <w:pStyle w:val="ListBullet"/>
        <w:spacing w:after="40"/>
      </w:pPr>
      <w:r>
        <w:rPr>
          <w:rFonts w:ascii="맑은 고딕" w:eastAsia="맑은 고딕" w:hAnsi="맑은 고딕"/>
          <w:sz w:val="19"/>
        </w:rPr>
        <w:t>북토크·독서모임용 질문지: 사랑과 통제의 경계, 아이의 재선택, 부모의 체면과 불안 등을 토론 주제로 확장할 수 있습니다.</w:t>
      </w:r>
    </w:p>
    <w:p>
      <w:pPr>
        <w:pStyle w:val="Heading1"/>
        <w:pageBreakBefore/>
        <w:spacing w:after="120" w:before="320"/>
      </w:pPr>
      <w:r>
        <w:rPr>
          <w:rFonts w:ascii="맑은 고딕" w:eastAsia="맑은 고딕" w:hAnsi="맑은 고딕"/>
          <w:color w:val="1F2937"/>
        </w:rPr>
        <w:t>7. 예상 목차</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2592"/>
        <w:gridCol w:w="2592"/>
        <w:gridCol w:w="2592"/>
        <w:gridCol w:w="2592"/>
      </w:tblGrid>
      <w:tr>
        <w:trPr>
          <w:tblHeader/>
        </w:trPr>
        <w:tc>
          <w:tcPr>
            <w:tcW w:w="1247" w:type="dxa"/>
            <w:shd w:val="clear" w:color="auto" w:fill="EEF2F7"/>
            <w:vAlign w:val="center"/>
          </w:tcPr>
          <w:p>
            <w:pPr>
              <w:spacing w:after="0"/>
            </w:pPr>
            <w:r>
              <w:rPr>
                <w:rFonts w:ascii="맑은 고딕" w:eastAsia="맑은 고딕" w:hAnsi="맑은 고딕"/>
                <w:b/>
                <w:color w:val="1F2937"/>
                <w:sz w:val="15"/>
              </w:rPr>
              <w:t>부/장</w:t>
            </w:r>
          </w:p>
        </w:tc>
        <w:tc>
          <w:tcPr>
            <w:tcW w:w="2381" w:type="dxa"/>
            <w:shd w:val="clear" w:color="auto" w:fill="EEF2F7"/>
            <w:vAlign w:val="center"/>
          </w:tcPr>
          <w:p>
            <w:pPr>
              <w:spacing w:after="0"/>
            </w:pPr>
            <w:r>
              <w:rPr>
                <w:rFonts w:ascii="맑은 고딕" w:eastAsia="맑은 고딕" w:hAnsi="맑은 고딕"/>
                <w:b/>
                <w:color w:val="1F2937"/>
                <w:sz w:val="15"/>
              </w:rPr>
              <w:t>제목</w:t>
            </w:r>
          </w:p>
        </w:tc>
        <w:tc>
          <w:tcPr>
            <w:tcW w:w="3515" w:type="dxa"/>
            <w:shd w:val="clear" w:color="auto" w:fill="EEF2F7"/>
            <w:vAlign w:val="center"/>
          </w:tcPr>
          <w:p>
            <w:pPr>
              <w:spacing w:after="0"/>
            </w:pPr>
            <w:r>
              <w:rPr>
                <w:rFonts w:ascii="맑은 고딕" w:eastAsia="맑은 고딕" w:hAnsi="맑은 고딕"/>
                <w:b/>
                <w:color w:val="1F2937"/>
                <w:sz w:val="15"/>
              </w:rPr>
              <w:t>핵심 내용</w:t>
            </w:r>
          </w:p>
        </w:tc>
        <w:tc>
          <w:tcPr>
            <w:tcW w:w="2381" w:type="dxa"/>
            <w:shd w:val="clear" w:color="auto" w:fill="EEF2F7"/>
            <w:vAlign w:val="center"/>
          </w:tcPr>
          <w:p>
            <w:pPr>
              <w:spacing w:after="0"/>
            </w:pPr>
            <w:r>
              <w:rPr>
                <w:rFonts w:ascii="맑은 고딕" w:eastAsia="맑은 고딕" w:hAnsi="맑은 고딕"/>
                <w:b/>
                <w:color w:val="1F2937"/>
                <w:sz w:val="15"/>
              </w:rPr>
              <w:t>독자 효용</w:t>
            </w:r>
          </w:p>
        </w:tc>
      </w:tr>
      <w:tr>
        <w:tc>
          <w:tcPr>
            <w:tcW w:w="1247" w:type="dxa"/>
            <w:vAlign w:val="top"/>
          </w:tcPr>
          <w:p>
            <w:pPr>
              <w:spacing w:after="0"/>
            </w:pPr>
            <w:r>
              <w:rPr>
                <w:rFonts w:ascii="맑은 고딕" w:eastAsia="맑은 고딕" w:hAnsi="맑은 고딕"/>
                <w:b w:val="0"/>
                <w:sz w:val="15"/>
              </w:rPr>
              <w:t>프롤로그</w:t>
            </w:r>
          </w:p>
        </w:tc>
        <w:tc>
          <w:tcPr>
            <w:tcW w:w="2381" w:type="dxa"/>
            <w:vAlign w:val="top"/>
          </w:tcPr>
          <w:p>
            <w:r>
              <w:t>5월. 환희와 절망</w:t>
            </w:r>
          </w:p>
        </w:tc>
        <w:tc>
          <w:tcPr>
            <w:tcW w:w="3515" w:type="dxa"/>
            <w:vAlign w:val="top"/>
          </w:tcPr>
          <w:p>
            <w:r>
              <w:t>아이를 처음 품에 안았던 5월의 환희와, 자퇴 선언으로 맞닥뜨린 5월의 절망을 교차하며 “나는 무엇을 두려워했을까”라는 질문을 제시.</w:t>
            </w:r>
          </w:p>
        </w:tc>
        <w:tc>
          <w:tcPr>
            <w:tcW w:w="2381" w:type="dxa"/>
            <w:vAlign w:val="top"/>
          </w:tcPr>
          <w:p>
            <w:r>
              <w:t>책의 정서와 문제의식을 즉시 이해하고 읽을 이유를 형성.</w:t>
            </w:r>
          </w:p>
        </w:tc>
      </w:tr>
      <w:tr>
        <w:tc>
          <w:tcPr>
            <w:tcW w:w="1247" w:type="dxa"/>
            <w:vAlign w:val="top"/>
          </w:tcPr>
          <w:p>
            <w:pPr>
              <w:spacing w:after="0"/>
            </w:pPr>
            <w:r>
              <w:rPr>
                <w:rFonts w:ascii="맑은 고딕" w:eastAsia="맑은 고딕" w:hAnsi="맑은 고딕"/>
                <w:b w:val="0"/>
                <w:sz w:val="15"/>
              </w:rPr>
              <w:t>1부</w:t>
            </w:r>
          </w:p>
        </w:tc>
        <w:tc>
          <w:tcPr>
            <w:tcW w:w="2381" w:type="dxa"/>
            <w:vAlign w:val="top"/>
          </w:tcPr>
          <w:p>
            <w:r>
              <w:t>안전이라는 이름의 지도</w:t>
            </w:r>
          </w:p>
        </w:tc>
        <w:tc>
          <w:tcPr>
            <w:tcW w:w="3515" w:type="dxa"/>
            <w:vAlign w:val="top"/>
          </w:tcPr>
          <w:p>
            <w:r>
              <w:t>엄마의 바람이 어디서 왔는지, 아이의 유년과 자사고 입학의 안도감, 그리고 아이가 보내던 초기 신호를 보여줌.</w:t>
            </w:r>
          </w:p>
        </w:tc>
        <w:tc>
          <w:tcPr>
            <w:tcW w:w="2381" w:type="dxa"/>
            <w:vAlign w:val="top"/>
          </w:tcPr>
          <w:p>
            <w:r>
              <w:t>부모 독자가 자신의 불안과 세대적 가치관을 돌아봄.</w:t>
            </w:r>
          </w:p>
        </w:tc>
      </w:tr>
      <w:tr>
        <w:tc>
          <w:tcPr>
            <w:tcW w:w="1247" w:type="dxa"/>
            <w:vAlign w:val="top"/>
          </w:tcPr>
          <w:p>
            <w:pPr>
              <w:spacing w:after="0"/>
            </w:pPr>
            <w:r>
              <w:rPr>
                <w:rFonts w:ascii="맑은 고딕" w:eastAsia="맑은 고딕" w:hAnsi="맑은 고딕"/>
                <w:b w:val="0"/>
                <w:sz w:val="15"/>
              </w:rPr>
              <w:t>2부</w:t>
            </w:r>
          </w:p>
        </w:tc>
        <w:tc>
          <w:tcPr>
            <w:tcW w:w="2381" w:type="dxa"/>
            <w:vAlign w:val="top"/>
          </w:tcPr>
          <w:p>
            <w:r>
              <w:t>사랑이라는 이름의 브레이크</w:t>
            </w:r>
          </w:p>
        </w:tc>
        <w:tc>
          <w:tcPr>
            <w:tcW w:w="3515" w:type="dxa"/>
            <w:vAlign w:val="top"/>
          </w:tcPr>
          <w:p>
            <w:r>
              <w:t>자퇴를 둘러싼 충돌, 밤샘 식탁 대화, 엄마와 아이의 서로 다른 두려움, 물려받은 바람의 회수.</w:t>
            </w:r>
          </w:p>
        </w:tc>
        <w:tc>
          <w:tcPr>
            <w:tcW w:w="2381" w:type="dxa"/>
            <w:vAlign w:val="top"/>
          </w:tcPr>
          <w:p>
            <w:r>
              <w:t>사랑이 통제가 되는 순간과 갈등의 본질을 장면으로 이해.</w:t>
            </w:r>
          </w:p>
        </w:tc>
      </w:tr>
      <w:tr>
        <w:tc>
          <w:tcPr>
            <w:tcW w:w="1247" w:type="dxa"/>
            <w:vAlign w:val="top"/>
          </w:tcPr>
          <w:p>
            <w:pPr>
              <w:spacing w:after="0"/>
            </w:pPr>
            <w:r>
              <w:rPr>
                <w:rFonts w:ascii="맑은 고딕" w:eastAsia="맑은 고딕" w:hAnsi="맑은 고딕"/>
                <w:b w:val="0"/>
                <w:sz w:val="15"/>
              </w:rPr>
              <w:t>3부</w:t>
            </w:r>
          </w:p>
        </w:tc>
        <w:tc>
          <w:tcPr>
            <w:tcW w:w="2381" w:type="dxa"/>
            <w:vAlign w:val="top"/>
          </w:tcPr>
          <w:p>
            <w:r>
              <w:t>길이 없는 길에서 보낸 1년</w:t>
            </w:r>
          </w:p>
        </w:tc>
        <w:tc>
          <w:tcPr>
            <w:tcW w:w="3515" w:type="dxa"/>
            <w:vAlign w:val="top"/>
          </w:tcPr>
          <w:p>
            <w:r>
              <w:t>자퇴 수용과 자퇴서, 학교 밖 자유의 막막함, 함께 바닥을 치는 시간, 세상의 시선과 대학을 다시 바라보는 과정.</w:t>
            </w:r>
          </w:p>
        </w:tc>
        <w:tc>
          <w:tcPr>
            <w:tcW w:w="2381" w:type="dxa"/>
            <w:vAlign w:val="top"/>
          </w:tcPr>
          <w:p>
            <w:r>
              <w:t>자퇴 이후의 현실과 제도 밖에서 다시 세상과 관계 맺는 과정을 미화 없이 체감.</w:t>
            </w:r>
          </w:p>
        </w:tc>
      </w:tr>
      <w:tr>
        <w:tc>
          <w:tcPr>
            <w:tcW w:w="1247" w:type="dxa"/>
            <w:vAlign w:val="top"/>
          </w:tcPr>
          <w:p>
            <w:pPr>
              <w:spacing w:after="0"/>
            </w:pPr>
            <w:r>
              <w:rPr>
                <w:rFonts w:ascii="맑은 고딕" w:eastAsia="맑은 고딕" w:hAnsi="맑은 고딕"/>
                <w:b w:val="0"/>
                <w:sz w:val="15"/>
              </w:rPr>
              <w:t>4부</w:t>
            </w:r>
          </w:p>
        </w:tc>
        <w:tc>
          <w:tcPr>
            <w:tcW w:w="2381" w:type="dxa"/>
            <w:vAlign w:val="top"/>
          </w:tcPr>
          <w:p>
            <w:r>
              <w:t>너의 궤도, 나의 새로운 바람</w:t>
            </w:r>
          </w:p>
        </w:tc>
        <w:tc>
          <w:tcPr>
            <w:tcW w:w="3515" w:type="dxa"/>
            <w:vAlign w:val="top"/>
          </w:tcPr>
          <w:p>
            <w:r>
              <w:t>아이의 홀로서기, 대학을 포함한 선택의 재정의, 엄마의 바람이 통제에서 신뢰로 바뀌는 과정.</w:t>
            </w:r>
          </w:p>
        </w:tc>
        <w:tc>
          <w:tcPr>
            <w:tcW w:w="2381" w:type="dxa"/>
            <w:vAlign w:val="top"/>
          </w:tcPr>
          <w:p>
            <w:r>
              <w:t>아이의 독립을 받아들이고 새로운 사랑의 언어를 얻음.</w:t>
            </w:r>
          </w:p>
        </w:tc>
      </w:tr>
      <w:tr>
        <w:tc>
          <w:tcPr>
            <w:tcW w:w="1247" w:type="dxa"/>
            <w:vAlign w:val="top"/>
          </w:tcPr>
          <w:p>
            <w:pPr>
              <w:spacing w:after="0"/>
            </w:pPr>
            <w:r>
              <w:rPr>
                <w:rFonts w:ascii="맑은 고딕" w:eastAsia="맑은 고딕" w:hAnsi="맑은 고딕"/>
                <w:b w:val="0"/>
                <w:sz w:val="15"/>
              </w:rPr>
              <w:t>에필로그</w:t>
            </w:r>
          </w:p>
        </w:tc>
        <w:tc>
          <w:tcPr>
            <w:tcW w:w="2381" w:type="dxa"/>
            <w:vAlign w:val="top"/>
          </w:tcPr>
          <w:p>
            <w:pPr>
              <w:spacing w:after="0"/>
              <w:rPr>
                <w:sz w:val="20"/>
                <w:szCs w:val="20"/>
              </w:rPr>
            </w:pPr>
            <w:r>
              <w:rPr>
                <w:rFonts w:ascii="맑은 고딕" w:eastAsia="맑은 고딕" w:hAnsi="맑은 고딕"/>
                <w:b w:val="0"/>
                <w:sz w:val="20"/>
                <w:szCs w:val="20"/>
              </w:rPr>
              <w:t>틀을 깨는 아이들과 여전히 불안한 부모들에게</w:t>
            </w:r>
          </w:p>
        </w:tc>
        <w:tc>
          <w:tcPr>
            <w:tcW w:w="3515" w:type="dxa"/>
            <w:vAlign w:val="top"/>
          </w:tcPr>
          <w:p>
            <w:pPr>
              <w:spacing w:after="0"/>
              <w:rPr>
                <w:sz w:val="20"/>
                <w:szCs w:val="20"/>
              </w:rPr>
            </w:pPr>
            <w:r>
              <w:rPr>
                <w:rFonts w:ascii="맑은 고딕" w:eastAsia="맑은 고딕" w:hAnsi="맑은 고딕"/>
                <w:b w:val="0"/>
                <w:sz w:val="20"/>
                <w:szCs w:val="20"/>
              </w:rPr>
              <w:t>완성된 성공담이 아니라 현재진행형의 이야기로 닫음.</w:t>
            </w:r>
          </w:p>
        </w:tc>
        <w:tc>
          <w:tcPr>
            <w:tcW w:w="2381" w:type="dxa"/>
            <w:vAlign w:val="top"/>
          </w:tcPr>
          <w:p>
            <w:pPr>
              <w:spacing w:after="0"/>
              <w:rPr>
                <w:sz w:val="20"/>
                <w:szCs w:val="20"/>
              </w:rPr>
            </w:pPr>
            <w:r>
              <w:rPr>
                <w:rFonts w:ascii="맑은 고딕" w:eastAsia="맑은 고딕" w:hAnsi="맑은 고딕"/>
                <w:b w:val="0"/>
                <w:sz w:val="20"/>
                <w:szCs w:val="20"/>
              </w:rPr>
              <w:t>불안한 부모에게 위로와 현실적인 신뢰의 언어 제공.</w:t>
            </w:r>
          </w:p>
        </w:tc>
      </w:tr>
    </w:tbl>
    <w:p/>
    <w:p>
      <w:pPr>
        <w:pStyle w:val="Heading2"/>
        <w:spacing w:after="80" w:before="160"/>
      </w:pPr>
      <w:r>
        <w:rPr>
          <w:rFonts w:ascii="맑은 고딕" w:eastAsia="맑은 고딕" w:hAnsi="맑은 고딕"/>
          <w:color w:val="374151"/>
        </w:rPr>
        <w:t>세부 목차안</w:t>
      </w:r>
    </w:p>
    <w:p>
      <w:pPr/>
      <w:r>
        <w:rPr>
          <w:b/>
        </w:rPr>
        <w:t>프롤로그. 5월. 환희와 절망</w:t>
      </w:r>
    </w:p>
    <w:p>
      <w:pPr>
        <w:pStyle w:val="ListBullet"/>
      </w:pPr>
      <w:r>
        <w:t>아이를 처음 품에 안았던 5월의 환희와, 자퇴 선언으로 맞닥뜨린 5월의 절망을 교차</w:t>
      </w:r>
    </w:p>
    <w:p>
      <w:pPr>
        <w:pStyle w:val="ListBullet"/>
      </w:pPr>
      <w:r>
        <w:t>그날의 결말을 모두 보여주지 않고 “나는 대체 무엇을 그렇게 두려워했을까”라는 질문으로 닫음</w:t>
      </w:r>
    </w:p>
    <w:p>
      <w:pPr/>
    </w:p>
    <w:p>
      <w:pPr/>
      <w:r>
        <w:rPr>
          <w:b/>
        </w:rPr>
        <w:t>1부. 안전이라는 이름의 지도</w:t>
      </w:r>
    </w:p>
    <w:p>
      <w:pPr/>
      <w:r>
        <w:rPr>
          <w:b/>
        </w:rPr>
        <w:t>제1장. 안전이라는 이름의 지도</w:t>
      </w:r>
    </w:p>
    <w:p>
      <w:pPr>
        <w:pStyle w:val="ListBullet"/>
      </w:pPr>
      <w:r>
        <w:t>1-1. 나도 누군가의 꿈이었다</w:t>
      </w:r>
    </w:p>
    <w:p>
      <w:pPr>
        <w:pStyle w:val="ListBullet"/>
      </w:pPr>
      <w:r>
        <w:t>1-2. 반짝이던 서랍 속 꿈들</w:t>
      </w:r>
    </w:p>
    <w:p>
      <w:pPr>
        <w:pStyle w:val="ListBullet"/>
      </w:pPr>
      <w:r>
        <w:t>1-3. 자사고라는 안도감</w:t>
      </w:r>
    </w:p>
    <w:p>
      <w:pPr>
        <w:pStyle w:val="ListBullet"/>
      </w:pPr>
      <w:r>
        <w:t>아이의 목소리 1. 서랍 속 메모</w:t>
      </w:r>
    </w:p>
    <w:p>
      <w:pPr/>
      <w:r>
        <w:rPr>
          <w:b/>
        </w:rPr>
        <w:t>제2장. 어긋나기 시작한 두 개의 시계</w:t>
      </w:r>
    </w:p>
    <w:p>
      <w:pPr>
        <w:pStyle w:val="ListBullet"/>
      </w:pPr>
      <w:r>
        <w:t>2-1. 속도 대 방향</w:t>
      </w:r>
    </w:p>
    <w:p>
      <w:pPr>
        <w:pStyle w:val="ListBullet"/>
      </w:pPr>
      <w:r>
        <w:t>2-2. 못 본 것과 안 본 것</w:t>
      </w:r>
    </w:p>
    <w:p>
      <w:pPr>
        <w:pStyle w:val="ListBullet"/>
      </w:pPr>
      <w:r>
        <w:t>아이의 목소리 2. 혼자 견딘 시간</w:t>
      </w:r>
    </w:p>
    <w:p>
      <w:pPr/>
    </w:p>
    <w:p>
      <w:pPr/>
      <w:r>
        <w:rPr>
          <w:b/>
        </w:rPr>
        <w:t>2부. 사랑이라는 이름의 브레이크</w:t>
      </w:r>
    </w:p>
    <w:p>
      <w:pPr/>
      <w:r>
        <w:rPr>
          <w:b/>
        </w:rPr>
        <w:t>제3장. 사랑이라는 이름의 브레이크</w:t>
      </w:r>
    </w:p>
    <w:p>
      <w:pPr>
        <w:pStyle w:val="ListBullet"/>
      </w:pPr>
      <w:r>
        <w:t>3-1. 선의가 브레이크가 되는 순간</w:t>
      </w:r>
    </w:p>
    <w:p>
      <w:pPr>
        <w:pStyle w:val="ListBullet"/>
      </w:pPr>
      <w:r>
        <w:t>3-2. 그날 밤, 식탁에서</w:t>
      </w:r>
    </w:p>
    <w:p>
      <w:pPr>
        <w:pStyle w:val="ListBullet"/>
      </w:pPr>
      <w:r>
        <w:t>3-3. 두 개의 다른 두려움</w:t>
      </w:r>
    </w:p>
    <w:p>
      <w:pPr>
        <w:pStyle w:val="ListBullet"/>
      </w:pPr>
      <w:r>
        <w:t>3-4. 거울</w:t>
      </w:r>
    </w:p>
    <w:p>
      <w:pPr>
        <w:pStyle w:val="ListBullet"/>
      </w:pPr>
      <w:r>
        <w:t>아이의 목소리 3. 그 밤의 기록</w:t>
      </w:r>
    </w:p>
    <w:p>
      <w:pPr/>
    </w:p>
    <w:p>
      <w:pPr/>
      <w:r>
        <w:rPr>
          <w:b/>
        </w:rPr>
        <w:t>3부. 길이 없는 길에서 보낸 1년</w:t>
      </w:r>
    </w:p>
    <w:p>
      <w:pPr/>
      <w:r>
        <w:rPr>
          <w:b/>
        </w:rPr>
        <w:t>제4장. 도장을 찍던 날, 그리고 길이 없는 길</w:t>
      </w:r>
    </w:p>
    <w:p>
      <w:pPr>
        <w:pStyle w:val="ListBullet"/>
      </w:pPr>
      <w:r>
        <w:t>4-1. 침묵, 그리고 손을 잡기로 하다</w:t>
      </w:r>
    </w:p>
    <w:p>
      <w:pPr>
        <w:pStyle w:val="ListBullet"/>
      </w:pPr>
      <w:r>
        <w:t>4-2. 자퇴서에 도장을 찍다</w:t>
      </w:r>
    </w:p>
    <w:p>
      <w:pPr>
        <w:pStyle w:val="ListBullet"/>
      </w:pPr>
      <w:r>
        <w:t>4-3. 생각보다 길고 막막한 자유</w:t>
      </w:r>
    </w:p>
    <w:p>
      <w:pPr>
        <w:pStyle w:val="ListBullet"/>
      </w:pPr>
      <w:r>
        <w:t>4-4. 다시 불안에 잡아먹히다</w:t>
      </w:r>
    </w:p>
    <w:p>
      <w:pPr>
        <w:pStyle w:val="ListBullet"/>
      </w:pPr>
      <w:r>
        <w:t>아이의 목소리 4. 흔들린 날</w:t>
      </w:r>
    </w:p>
    <w:p>
      <w:pPr/>
      <w:r>
        <w:rPr>
          <w:b/>
        </w:rPr>
        <w:t>제5장. 각자의 속도를 찾다</w:t>
      </w:r>
    </w:p>
    <w:p>
      <w:pPr>
        <w:pStyle w:val="ListBullet"/>
      </w:pPr>
      <w:r>
        <w:t>5-1. 바닥에서 다시 묻다</w:t>
      </w:r>
    </w:p>
    <w:p>
      <w:pPr>
        <w:pStyle w:val="ListBullet"/>
      </w:pPr>
      <w:r>
        <w:t>5-2. 1년, 세상의 시선을 다시 마주하다</w:t>
      </w:r>
    </w:p>
    <w:p>
      <w:pPr>
        <w:pStyle w:val="ListBullet"/>
      </w:pPr>
      <w:r>
        <w:t>5-3. 대학을 다시 생각한다는 것</w:t>
      </w:r>
    </w:p>
    <w:p>
      <w:pPr>
        <w:pStyle w:val="ListBullet"/>
      </w:pPr>
      <w:r>
        <w:t>5-4. 아이가 길을 내다</w:t>
      </w:r>
    </w:p>
    <w:p>
      <w:pPr>
        <w:pStyle w:val="ListBullet"/>
      </w:pPr>
      <w:r>
        <w:t>5-5. 서로를 가르친 시간</w:t>
      </w:r>
    </w:p>
    <w:p>
      <w:pPr>
        <w:pStyle w:val="ListBullet"/>
      </w:pPr>
      <w:r>
        <w:t>아이의 목소리 5. 다시 대학을 생각하며</w:t>
      </w:r>
    </w:p>
    <w:p>
      <w:pPr/>
    </w:p>
    <w:p>
      <w:pPr/>
      <w:r>
        <w:rPr>
          <w:b/>
        </w:rPr>
        <w:t>4부. 너의 궤도, 나의 새로운 바람</w:t>
      </w:r>
    </w:p>
    <w:p>
      <w:pPr/>
      <w:r>
        <w:rPr>
          <w:b/>
        </w:rPr>
        <w:t>제6장. 너의 궤도, 나의 새로운 바람</w:t>
      </w:r>
    </w:p>
    <w:p>
      <w:pPr>
        <w:pStyle w:val="ListBullet"/>
      </w:pPr>
      <w:r>
        <w:t>6-1. 홀로서기를 준비하는 너에게</w:t>
      </w:r>
    </w:p>
    <w:p>
      <w:pPr>
        <w:pStyle w:val="ListBullet"/>
      </w:pPr>
      <w:r>
        <w:t>6-2. 바람의 재정의</w:t>
      </w:r>
    </w:p>
    <w:p>
      <w:pPr>
        <w:pStyle w:val="ListBullet"/>
      </w:pPr>
      <w:r>
        <w:t>아이의 목소리 6. 나의 궤도</w:t>
      </w:r>
    </w:p>
    <w:p>
      <w:pPr/>
    </w:p>
    <w:p>
      <w:pPr/>
      <w:r>
        <w:rPr>
          <w:b/>
        </w:rPr>
        <w:t>에필로그. 틀을 깨는 아이들과 여전히 불안한 부모들에게</w:t>
      </w:r>
    </w:p>
    <w:p>
      <w:pPr>
        <w:pStyle w:val="ListBullet"/>
      </w:pPr>
      <w:r>
        <w:t>정답은 하나가 아니다. 우리는 꽤 헤맸지만, 사랑의 방향만은 계속 다시 배워왔다는 메시지로 닫음</w:t>
      </w:r>
    </w:p>
    <w:p>
      <w:pPr>
        <w:pStyle w:val="Heading1"/>
        <w:spacing w:after="120" w:before="320"/>
        <w:rPr>
          <w:lang w:eastAsia="ko-KR"/>
          <w:rFonts w:ascii="맑은 고딕" w:eastAsia="맑은 고딕" w:hAnsi="맑은 고딕" w:hint="eastAsia"/>
          <w:color w:val="1F2937"/>
          <w:rtl w:val="off"/>
        </w:rPr>
      </w:pPr>
    </w:p>
    <w:p>
      <w:pPr>
        <w:pStyle w:val="Heading1"/>
        <w:spacing w:after="120" w:before="320"/>
      </w:pPr>
      <w:r>
        <w:rPr>
          <w:rFonts w:ascii="맑은 고딕" w:eastAsia="맑은 고딕" w:hAnsi="맑은 고딕"/>
          <w:color w:val="1F2937"/>
        </w:rPr>
        <w:t>8. 원고 진행 상황과 제작 사양</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3457"/>
        <w:gridCol w:w="3457"/>
        <w:gridCol w:w="3457"/>
      </w:tblGrid>
      <w:tr>
        <w:trPr>
          <w:tblHeader/>
        </w:trPr>
        <w:tc>
          <w:tcPr>
            <w:tcW w:w="1871" w:type="dxa"/>
            <w:shd w:val="clear" w:color="auto" w:fill="EEF2F7"/>
            <w:vAlign w:val="center"/>
          </w:tcPr>
          <w:p>
            <w:pPr>
              <w:spacing w:after="0"/>
            </w:pPr>
            <w:r>
              <w:rPr>
                <w:rFonts w:ascii="맑은 고딕" w:eastAsia="맑은 고딕" w:hAnsi="맑은 고딕"/>
                <w:b/>
                <w:color w:val="1F2937"/>
                <w:sz w:val="16"/>
              </w:rPr>
              <w:t>항목</w:t>
            </w:r>
          </w:p>
        </w:tc>
        <w:tc>
          <w:tcPr>
            <w:tcW w:w="3402" w:type="dxa"/>
            <w:shd w:val="clear" w:color="auto" w:fill="EEF2F7"/>
            <w:vAlign w:val="center"/>
          </w:tcPr>
          <w:p>
            <w:pPr>
              <w:spacing w:after="0"/>
            </w:pPr>
            <w:r>
              <w:rPr>
                <w:rFonts w:ascii="맑은 고딕" w:eastAsia="맑은 고딕" w:hAnsi="맑은 고딕"/>
                <w:b/>
                <w:color w:val="1F2937"/>
                <w:sz w:val="16"/>
              </w:rPr>
              <w:t>예상/현재 값</w:t>
            </w:r>
          </w:p>
        </w:tc>
        <w:tc>
          <w:tcPr>
            <w:tcW w:w="4082" w:type="dxa"/>
            <w:shd w:val="clear" w:color="auto" w:fill="EEF2F7"/>
            <w:vAlign w:val="center"/>
          </w:tcPr>
          <w:p>
            <w:pPr>
              <w:spacing w:after="0"/>
            </w:pPr>
            <w:r>
              <w:rPr>
                <w:rFonts w:ascii="맑은 고딕" w:eastAsia="맑은 고딕" w:hAnsi="맑은 고딕"/>
                <w:b/>
                <w:color w:val="1F2937"/>
                <w:sz w:val="16"/>
              </w:rPr>
              <w:t>메모</w:t>
            </w:r>
          </w:p>
        </w:tc>
      </w:tr>
      <w:tr>
        <w:tc>
          <w:tcPr>
            <w:tcW w:w="1871" w:type="dxa"/>
            <w:vAlign w:val="top"/>
          </w:tcPr>
          <w:p>
            <w:pPr>
              <w:spacing w:after="0"/>
            </w:pPr>
            <w:r>
              <w:rPr>
                <w:rFonts w:ascii="맑은 고딕" w:eastAsia="맑은 고딕" w:hAnsi="맑은 고딕"/>
                <w:b w:val="0"/>
                <w:sz w:val="16"/>
              </w:rPr>
              <w:t>원고 완성도</w:t>
            </w:r>
          </w:p>
        </w:tc>
        <w:tc>
          <w:tcPr>
            <w:tcW w:w="3402" w:type="dxa"/>
            <w:vAlign w:val="top"/>
          </w:tcPr>
          <w:p>
            <w:pPr>
              <w:spacing w:after="0"/>
            </w:pPr>
            <w:r>
              <w:rPr>
                <w:rFonts w:ascii="맑은 고딕" w:eastAsia="맑은 고딕" w:hAnsi="맑은 고딕"/>
                <w:b w:val="0"/>
                <w:sz w:val="16"/>
              </w:rPr>
              <w:t>기획서 및 세부 목차 확정 단계</w:t>
            </w:r>
          </w:p>
        </w:tc>
        <w:tc>
          <w:tcPr>
            <w:tcW w:w="4082" w:type="dxa"/>
            <w:vAlign w:val="top"/>
          </w:tcPr>
          <w:p>
            <w:pPr>
              <w:spacing w:after="0"/>
            </w:pPr>
            <w:r>
              <w:rPr>
                <w:rFonts w:ascii="맑은 고딕" w:eastAsia="맑은 고딕" w:hAnsi="맑은 고딕"/>
                <w:b w:val="0"/>
                <w:sz w:val="16"/>
              </w:rPr>
              <w:t>출판사 투고 시 최소 5쪽 이상, 가능하면 1장 분량 샘플 원고 첨부 권장.</w:t>
            </w:r>
          </w:p>
        </w:tc>
      </w:tr>
      <w:tr>
        <w:tc>
          <w:tcPr>
            <w:tcW w:w="1871" w:type="dxa"/>
            <w:vAlign w:val="top"/>
          </w:tcPr>
          <w:p>
            <w:pPr>
              <w:spacing w:after="0"/>
            </w:pPr>
            <w:r>
              <w:rPr>
                <w:rFonts w:ascii="맑은 고딕" w:eastAsia="맑은 고딕" w:hAnsi="맑은 고딕"/>
                <w:b w:val="0"/>
                <w:sz w:val="16"/>
              </w:rPr>
              <w:t>예상 분량</w:t>
            </w:r>
          </w:p>
        </w:tc>
        <w:tc>
          <w:tcPr>
            <w:tcW w:w="3402" w:type="dxa"/>
            <w:vAlign w:val="top"/>
          </w:tcPr>
          <w:p>
            <w:pPr>
              <w:spacing w:after="0"/>
            </w:pPr>
            <w:r>
              <w:rPr>
                <w:rFonts w:ascii="맑은 고딕" w:eastAsia="맑은 고딕" w:hAnsi="맑은 고딕"/>
                <w:b w:val="0"/>
                <w:sz w:val="16"/>
              </w:rPr>
              <w:t>240~280쪽 내외, 약 10만~12만 자</w:t>
            </w:r>
          </w:p>
        </w:tc>
        <w:tc>
          <w:tcPr>
            <w:tcW w:w="4082" w:type="dxa"/>
            <w:vAlign w:val="top"/>
          </w:tcPr>
          <w:p>
            <w:pPr>
              <w:spacing w:after="0"/>
            </w:pPr>
            <w:r>
              <w:rPr>
                <w:rFonts w:ascii="맑은 고딕" w:eastAsia="맑은 고딕" w:hAnsi="맑은 고딕"/>
                <w:b w:val="0"/>
                <w:sz w:val="16"/>
              </w:rPr>
              <w:t>에세이형 회고록으로 장면과 사유가 함께 들어가는 분량 기준.</w:t>
            </w:r>
          </w:p>
        </w:tc>
      </w:tr>
      <w:tr>
        <w:tc>
          <w:tcPr>
            <w:tcW w:w="1871" w:type="dxa"/>
            <w:vAlign w:val="top"/>
          </w:tcPr>
          <w:p>
            <w:pPr>
              <w:spacing w:after="0"/>
            </w:pPr>
            <w:r>
              <w:rPr>
                <w:rFonts w:ascii="맑은 고딕" w:eastAsia="맑은 고딕" w:hAnsi="맑은 고딕"/>
                <w:b w:val="0"/>
                <w:sz w:val="16"/>
              </w:rPr>
              <w:t>판형/제본</w:t>
            </w:r>
          </w:p>
        </w:tc>
        <w:tc>
          <w:tcPr>
            <w:tcW w:w="3402" w:type="dxa"/>
            <w:vAlign w:val="top"/>
          </w:tcPr>
          <w:p>
            <w:pPr>
              <w:spacing w:after="0"/>
            </w:pPr>
            <w:r>
              <w:rPr>
                <w:rFonts w:ascii="맑은 고딕" w:eastAsia="맑은 고딕" w:hAnsi="맑은 고딕"/>
                <w:b w:val="0"/>
                <w:sz w:val="16"/>
              </w:rPr>
              <w:t>145 x 210mm 또는 128 x 188mm / 무선제본</w:t>
            </w:r>
          </w:p>
        </w:tc>
        <w:tc>
          <w:tcPr>
            <w:tcW w:w="4082" w:type="dxa"/>
            <w:vAlign w:val="top"/>
          </w:tcPr>
          <w:p>
            <w:pPr>
              <w:spacing w:after="0"/>
            </w:pPr>
            <w:r>
              <w:rPr>
                <w:rFonts w:ascii="맑은 고딕" w:eastAsia="맑은 고딕" w:hAnsi="맑은 고딕"/>
                <w:b w:val="0"/>
                <w:sz w:val="16"/>
              </w:rPr>
              <w:t>출판사 편집 방향에 따라 협의 가능.</w:t>
            </w:r>
          </w:p>
        </w:tc>
      </w:tr>
      <w:tr>
        <w:tc>
          <w:tcPr>
            <w:tcW w:w="1871" w:type="dxa"/>
            <w:vAlign w:val="top"/>
          </w:tcPr>
          <w:p>
            <w:pPr>
              <w:spacing w:after="0"/>
            </w:pPr>
            <w:r>
              <w:rPr>
                <w:rFonts w:ascii="맑은 고딕" w:eastAsia="맑은 고딕" w:hAnsi="맑은 고딕"/>
                <w:b w:val="0"/>
                <w:sz w:val="16"/>
              </w:rPr>
              <w:t>이미지/도표</w:t>
            </w:r>
          </w:p>
        </w:tc>
        <w:tc>
          <w:tcPr>
            <w:tcW w:w="3402" w:type="dxa"/>
            <w:vAlign w:val="top"/>
          </w:tcPr>
          <w:p>
            <w:pPr>
              <w:spacing w:after="0"/>
            </w:pPr>
            <w:r>
              <w:rPr>
                <w:rFonts w:ascii="맑은 고딕" w:eastAsia="맑은 고딕" w:hAnsi="맑은 고딕"/>
                <w:b w:val="0"/>
                <w:sz w:val="16"/>
              </w:rPr>
              <w:t>사진은 최소화. 아이의 메모·일기·진로 노트는 텍스트 재구성 또는 이미지 삽입 검토.</w:t>
            </w:r>
          </w:p>
        </w:tc>
        <w:tc>
          <w:tcPr>
            <w:tcW w:w="4082" w:type="dxa"/>
            <w:vAlign w:val="top"/>
          </w:tcPr>
          <w:p>
            <w:pPr>
              <w:spacing w:after="0"/>
            </w:pPr>
            <w:r>
              <w:rPr>
                <w:rFonts w:ascii="맑은 고딕" w:eastAsia="맑은 고딕" w:hAnsi="맑은 고딕"/>
                <w:b w:val="0"/>
                <w:sz w:val="16"/>
              </w:rPr>
              <w:t>실제 이미지 사용 시 아이의 동의와 개인정보 비식별 처리 필요.</w:t>
            </w:r>
          </w:p>
        </w:tc>
      </w:tr>
      <w:tr>
        <w:tc>
          <w:tcPr>
            <w:tcW w:w="1871" w:type="dxa"/>
            <w:vAlign w:val="top"/>
          </w:tcPr>
          <w:p>
            <w:pPr>
              <w:spacing w:after="0"/>
            </w:pPr>
            <w:r>
              <w:rPr>
                <w:rFonts w:ascii="맑은 고딕" w:eastAsia="맑은 고딕" w:hAnsi="맑은 고딕"/>
                <w:b w:val="0"/>
                <w:sz w:val="16"/>
              </w:rPr>
              <w:t>완성 예정일</w:t>
            </w:r>
          </w:p>
        </w:tc>
        <w:tc>
          <w:tcPr>
            <w:tcW w:w="3402" w:type="dxa"/>
            <w:vAlign w:val="top"/>
          </w:tcPr>
          <w:p>
            <w:pPr>
              <w:spacing w:after="0"/>
            </w:pPr>
            <w:r>
              <w:rPr>
                <w:rFonts w:ascii="맑은 고딕" w:eastAsia="맑은 고딕" w:hAnsi="맑은 고딕"/>
                <w:b w:val="0"/>
                <w:sz w:val="16"/>
              </w:rPr>
              <w:t>계약 후 4~5개월 또는 [구체 일정 기입 필요]</w:t>
            </w:r>
          </w:p>
        </w:tc>
        <w:tc>
          <w:tcPr>
            <w:tcW w:w="4082" w:type="dxa"/>
            <w:vAlign w:val="top"/>
          </w:tcPr>
          <w:p>
            <w:pPr>
              <w:spacing w:after="0"/>
            </w:pPr>
            <w:r>
              <w:rPr>
                <w:rFonts w:ascii="맑은 고딕" w:eastAsia="맑은 고딕" w:hAnsi="맑은 고딕"/>
                <w:b w:val="0"/>
                <w:sz w:val="16"/>
              </w:rPr>
              <w:t>민감한 가족 서사이므로 사실 확인과 아이의 동의 절차 포함 권장.</w:t>
            </w:r>
          </w:p>
        </w:tc>
      </w:tr>
    </w:tbl>
    <w:p/>
    <w:p>
      <w:pPr>
        <w:pStyle w:val="Heading1"/>
        <w:spacing w:after="120" w:before="320"/>
      </w:pPr>
      <w:r>
        <w:rPr>
          <w:rFonts w:ascii="맑은 고딕" w:eastAsia="맑은 고딕" w:hAnsi="맑은 고딕"/>
          <w:color w:val="1F2937"/>
        </w:rPr>
        <w:t>9. 출간 일정안</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2592"/>
        <w:gridCol w:w="2592"/>
        <w:gridCol w:w="2592"/>
        <w:gridCol w:w="2592"/>
      </w:tblGrid>
      <w:tr>
        <w:trPr>
          <w:tblHeader/>
        </w:trPr>
        <w:tc>
          <w:tcPr>
            <w:tcW w:w="1587" w:type="dxa"/>
            <w:shd w:val="clear" w:color="auto" w:fill="EEF2F7"/>
            <w:vAlign w:val="center"/>
          </w:tcPr>
          <w:p>
            <w:pPr>
              <w:spacing w:after="0"/>
            </w:pPr>
            <w:r>
              <w:rPr>
                <w:rFonts w:ascii="맑은 고딕" w:eastAsia="맑은 고딕" w:hAnsi="맑은 고딕"/>
                <w:b/>
                <w:color w:val="1F2937"/>
                <w:sz w:val="16"/>
              </w:rPr>
              <w:t>단계</w:t>
            </w:r>
          </w:p>
        </w:tc>
        <w:tc>
          <w:tcPr>
            <w:tcW w:w="1304" w:type="dxa"/>
            <w:shd w:val="clear" w:color="auto" w:fill="EEF2F7"/>
            <w:vAlign w:val="center"/>
          </w:tcPr>
          <w:p>
            <w:pPr>
              <w:spacing w:after="0"/>
            </w:pPr>
            <w:r>
              <w:rPr>
                <w:rFonts w:ascii="맑은 고딕" w:eastAsia="맑은 고딕" w:hAnsi="맑은 고딕"/>
                <w:b/>
                <w:color w:val="1F2937"/>
                <w:sz w:val="16"/>
              </w:rPr>
              <w:t>기간</w:t>
            </w:r>
          </w:p>
        </w:tc>
        <w:tc>
          <w:tcPr>
            <w:tcW w:w="3231" w:type="dxa"/>
            <w:shd w:val="clear" w:color="auto" w:fill="EEF2F7"/>
            <w:vAlign w:val="center"/>
          </w:tcPr>
          <w:p>
            <w:pPr>
              <w:spacing w:after="0"/>
            </w:pPr>
            <w:r>
              <w:rPr>
                <w:rFonts w:ascii="맑은 고딕" w:eastAsia="맑은 고딕" w:hAnsi="맑은 고딕"/>
                <w:b/>
                <w:color w:val="1F2937"/>
                <w:sz w:val="16"/>
              </w:rPr>
              <w:t>주요 산출물</w:t>
            </w:r>
          </w:p>
        </w:tc>
        <w:tc>
          <w:tcPr>
            <w:tcW w:w="3231" w:type="dxa"/>
            <w:shd w:val="clear" w:color="auto" w:fill="EEF2F7"/>
            <w:vAlign w:val="center"/>
          </w:tcPr>
          <w:p>
            <w:pPr>
              <w:spacing w:after="0"/>
            </w:pPr>
            <w:r>
              <w:rPr>
                <w:rFonts w:ascii="맑은 고딕" w:eastAsia="맑은 고딕" w:hAnsi="맑은 고딕"/>
                <w:b/>
                <w:color w:val="1F2937"/>
                <w:sz w:val="16"/>
              </w:rPr>
              <w:t>비고</w:t>
            </w:r>
          </w:p>
        </w:tc>
      </w:tr>
      <w:tr>
        <w:tc>
          <w:tcPr>
            <w:tcW w:w="1587" w:type="dxa"/>
            <w:vAlign w:val="top"/>
          </w:tcPr>
          <w:p>
            <w:pPr>
              <w:spacing w:after="0"/>
            </w:pPr>
            <w:r>
              <w:rPr>
                <w:rFonts w:ascii="맑은 고딕" w:eastAsia="맑은 고딕" w:hAnsi="맑은 고딕"/>
                <w:b w:val="0"/>
                <w:sz w:val="16"/>
              </w:rPr>
              <w:t>기획 확정</w:t>
            </w:r>
          </w:p>
        </w:tc>
        <w:tc>
          <w:tcPr>
            <w:tcW w:w="1304" w:type="dxa"/>
            <w:vAlign w:val="top"/>
          </w:tcPr>
          <w:p>
            <w:pPr>
              <w:spacing w:after="0"/>
            </w:pPr>
            <w:r>
              <w:rPr>
                <w:rFonts w:ascii="맑은 고딕" w:eastAsia="맑은 고딕" w:hAnsi="맑은 고딕"/>
                <w:b w:val="0"/>
                <w:sz w:val="16"/>
              </w:rPr>
              <w:t>1~2주</w:t>
            </w:r>
          </w:p>
        </w:tc>
        <w:tc>
          <w:tcPr>
            <w:tcW w:w="3231" w:type="dxa"/>
            <w:vAlign w:val="top"/>
          </w:tcPr>
          <w:p>
            <w:pPr>
              <w:spacing w:after="0"/>
            </w:pPr>
            <w:r>
              <w:rPr>
                <w:rFonts w:ascii="맑은 고딕" w:eastAsia="맑은 고딕" w:hAnsi="맑은 고딕"/>
                <w:b w:val="0"/>
                <w:sz w:val="16"/>
              </w:rPr>
              <w:t>기획서, 세부 목차, 샘플 원고 1~2편</w:t>
            </w:r>
          </w:p>
        </w:tc>
        <w:tc>
          <w:tcPr>
            <w:tcW w:w="3231" w:type="dxa"/>
            <w:vAlign w:val="top"/>
          </w:tcPr>
          <w:p>
            <w:pPr>
              <w:spacing w:after="0"/>
            </w:pPr>
            <w:r>
              <w:rPr>
                <w:rFonts w:ascii="맑은 고딕" w:eastAsia="맑은 고딕" w:hAnsi="맑은 고딕"/>
                <w:b w:val="0"/>
                <w:sz w:val="16"/>
              </w:rPr>
              <w:t>출판사 피드백 반영. 제목·부제·목차 조정.</w:t>
            </w:r>
          </w:p>
        </w:tc>
      </w:tr>
      <w:tr>
        <w:tc>
          <w:tcPr>
            <w:tcW w:w="1587" w:type="dxa"/>
            <w:vAlign w:val="top"/>
          </w:tcPr>
          <w:p>
            <w:pPr>
              <w:spacing w:after="0"/>
            </w:pPr>
            <w:r>
              <w:rPr>
                <w:rFonts w:ascii="맑은 고딕" w:eastAsia="맑은 고딕" w:hAnsi="맑은 고딕"/>
                <w:b w:val="0"/>
                <w:sz w:val="16"/>
              </w:rPr>
              <w:t>초고 집필</w:t>
            </w:r>
          </w:p>
        </w:tc>
        <w:tc>
          <w:tcPr>
            <w:tcW w:w="1304" w:type="dxa"/>
            <w:vAlign w:val="top"/>
          </w:tcPr>
          <w:p>
            <w:pPr>
              <w:spacing w:after="0"/>
            </w:pPr>
            <w:r>
              <w:rPr>
                <w:rFonts w:ascii="맑은 고딕" w:eastAsia="맑은 고딕" w:hAnsi="맑은 고딕"/>
                <w:b w:val="0"/>
                <w:sz w:val="16"/>
              </w:rPr>
              <w:t>10~14주</w:t>
            </w:r>
          </w:p>
        </w:tc>
        <w:tc>
          <w:tcPr>
            <w:tcW w:w="3231" w:type="dxa"/>
            <w:vAlign w:val="top"/>
          </w:tcPr>
          <w:p>
            <w:pPr>
              <w:spacing w:after="0"/>
            </w:pPr>
            <w:r>
              <w:rPr>
                <w:rFonts w:ascii="맑은 고딕" w:eastAsia="맑은 고딕" w:hAnsi="맑은 고딕"/>
                <w:b w:val="0"/>
                <w:sz w:val="16"/>
              </w:rPr>
              <w:t>전체 원고 1차본</w:t>
            </w:r>
          </w:p>
        </w:tc>
        <w:tc>
          <w:tcPr>
            <w:tcW w:w="3231" w:type="dxa"/>
            <w:vAlign w:val="top"/>
          </w:tcPr>
          <w:p>
            <w:pPr>
              <w:spacing w:after="0"/>
            </w:pPr>
            <w:r>
              <w:rPr>
                <w:rFonts w:ascii="맑은 고딕" w:eastAsia="맑은 고딕" w:hAnsi="맑은 고딕"/>
                <w:b w:val="0"/>
                <w:sz w:val="16"/>
              </w:rPr>
              <w:t>주 1회 장별 진척 점검. 아이의 글 삽입 위치 확정.</w:t>
            </w:r>
          </w:p>
        </w:tc>
      </w:tr>
      <w:tr>
        <w:tc>
          <w:tcPr>
            <w:tcW w:w="1587" w:type="dxa"/>
            <w:vAlign w:val="top"/>
          </w:tcPr>
          <w:p>
            <w:pPr>
              <w:spacing w:after="0"/>
            </w:pPr>
            <w:r>
              <w:rPr>
                <w:rFonts w:ascii="맑은 고딕" w:eastAsia="맑은 고딕" w:hAnsi="맑은 고딕"/>
                <w:b w:val="0"/>
                <w:sz w:val="16"/>
              </w:rPr>
              <w:t>수정 원고</w:t>
            </w:r>
          </w:p>
        </w:tc>
        <w:tc>
          <w:tcPr>
            <w:tcW w:w="1304" w:type="dxa"/>
            <w:vAlign w:val="top"/>
          </w:tcPr>
          <w:p>
            <w:pPr>
              <w:spacing w:after="0"/>
            </w:pPr>
            <w:r>
              <w:rPr>
                <w:rFonts w:ascii="맑은 고딕" w:eastAsia="맑은 고딕" w:hAnsi="맑은 고딕"/>
                <w:b w:val="0"/>
                <w:sz w:val="16"/>
              </w:rPr>
              <w:t>4~6주</w:t>
            </w:r>
          </w:p>
        </w:tc>
        <w:tc>
          <w:tcPr>
            <w:tcW w:w="3231" w:type="dxa"/>
            <w:vAlign w:val="top"/>
          </w:tcPr>
          <w:p>
            <w:pPr>
              <w:spacing w:after="0"/>
            </w:pPr>
            <w:r>
              <w:rPr>
                <w:rFonts w:ascii="맑은 고딕" w:eastAsia="맑은 고딕" w:hAnsi="맑은 고딕"/>
                <w:b w:val="0"/>
                <w:sz w:val="16"/>
              </w:rPr>
              <w:t>수정본, 민감한 사실 검토, 아이의 동의 범위 확정</w:t>
            </w:r>
          </w:p>
        </w:tc>
        <w:tc>
          <w:tcPr>
            <w:tcW w:w="3231" w:type="dxa"/>
            <w:vAlign w:val="top"/>
          </w:tcPr>
          <w:p>
            <w:pPr>
              <w:spacing w:after="0"/>
            </w:pPr>
            <w:r>
              <w:rPr>
                <w:rFonts w:ascii="맑은 고딕" w:eastAsia="맑은 고딕" w:hAnsi="맑은 고딕"/>
                <w:b w:val="0"/>
                <w:sz w:val="16"/>
              </w:rPr>
              <w:t>가족·학교·개인정보 비식별 처리. 과장·미화 여부 점검.</w:t>
            </w:r>
          </w:p>
        </w:tc>
      </w:tr>
      <w:tr>
        <w:tc>
          <w:tcPr>
            <w:tcW w:w="1587" w:type="dxa"/>
            <w:vAlign w:val="top"/>
          </w:tcPr>
          <w:p>
            <w:pPr>
              <w:spacing w:after="0"/>
            </w:pPr>
            <w:r>
              <w:rPr>
                <w:rFonts w:ascii="맑은 고딕" w:eastAsia="맑은 고딕" w:hAnsi="맑은 고딕"/>
                <w:b w:val="0"/>
                <w:sz w:val="16"/>
              </w:rPr>
              <w:t>교정/교열</w:t>
            </w:r>
          </w:p>
        </w:tc>
        <w:tc>
          <w:tcPr>
            <w:tcW w:w="1304" w:type="dxa"/>
            <w:vAlign w:val="top"/>
          </w:tcPr>
          <w:p>
            <w:pPr>
              <w:spacing w:after="0"/>
            </w:pPr>
            <w:r>
              <w:rPr>
                <w:rFonts w:ascii="맑은 고딕" w:eastAsia="맑은 고딕" w:hAnsi="맑은 고딕"/>
                <w:b w:val="0"/>
                <w:sz w:val="16"/>
              </w:rPr>
              <w:t>2~4주</w:t>
            </w:r>
          </w:p>
        </w:tc>
        <w:tc>
          <w:tcPr>
            <w:tcW w:w="3231" w:type="dxa"/>
            <w:vAlign w:val="top"/>
          </w:tcPr>
          <w:p>
            <w:pPr>
              <w:spacing w:after="0"/>
            </w:pPr>
            <w:r>
              <w:rPr>
                <w:rFonts w:ascii="맑은 고딕" w:eastAsia="맑은 고딕" w:hAnsi="맑은 고딕"/>
                <w:b w:val="0"/>
                <w:sz w:val="16"/>
              </w:rPr>
              <w:t>교정지, 최종 원고</w:t>
            </w:r>
          </w:p>
        </w:tc>
        <w:tc>
          <w:tcPr>
            <w:tcW w:w="3231" w:type="dxa"/>
            <w:vAlign w:val="top"/>
          </w:tcPr>
          <w:p>
            <w:pPr>
              <w:spacing w:after="0"/>
            </w:pPr>
            <w:r>
              <w:rPr>
                <w:rFonts w:ascii="맑은 고딕" w:eastAsia="맑은 고딕" w:hAnsi="맑은 고딕"/>
                <w:b w:val="0"/>
                <w:sz w:val="16"/>
              </w:rPr>
              <w:t>정서적 표현의 균형, 호칭, 시점, 아이의 글 표기 방식 통일.</w:t>
            </w:r>
          </w:p>
        </w:tc>
      </w:tr>
      <w:tr>
        <w:tc>
          <w:tcPr>
            <w:tcW w:w="1587" w:type="dxa"/>
            <w:vAlign w:val="top"/>
          </w:tcPr>
          <w:p>
            <w:pPr>
              <w:spacing w:after="0"/>
            </w:pPr>
            <w:r>
              <w:rPr>
                <w:rFonts w:ascii="맑은 고딕" w:eastAsia="맑은 고딕" w:hAnsi="맑은 고딕"/>
                <w:b w:val="0"/>
                <w:sz w:val="16"/>
              </w:rPr>
              <w:t>디자인/인쇄</w:t>
            </w:r>
          </w:p>
        </w:tc>
        <w:tc>
          <w:tcPr>
            <w:tcW w:w="1304" w:type="dxa"/>
            <w:vAlign w:val="top"/>
          </w:tcPr>
          <w:p>
            <w:pPr>
              <w:spacing w:after="0"/>
            </w:pPr>
            <w:r>
              <w:rPr>
                <w:rFonts w:ascii="맑은 고딕" w:eastAsia="맑은 고딕" w:hAnsi="맑은 고딕"/>
                <w:b w:val="0"/>
                <w:sz w:val="16"/>
              </w:rPr>
              <w:t>3~5주</w:t>
            </w:r>
          </w:p>
        </w:tc>
        <w:tc>
          <w:tcPr>
            <w:tcW w:w="3231" w:type="dxa"/>
            <w:vAlign w:val="top"/>
          </w:tcPr>
          <w:p>
            <w:pPr>
              <w:spacing w:after="0"/>
            </w:pPr>
            <w:r>
              <w:rPr>
                <w:rFonts w:ascii="맑은 고딕" w:eastAsia="맑은 고딕" w:hAnsi="맑은 고딕"/>
                <w:b w:val="0"/>
                <w:sz w:val="16"/>
              </w:rPr>
              <w:t>표지, 본문 디자인, 인쇄 파일, 홍보 카피</w:t>
            </w:r>
          </w:p>
        </w:tc>
        <w:tc>
          <w:tcPr>
            <w:tcW w:w="3231" w:type="dxa"/>
            <w:vAlign w:val="top"/>
          </w:tcPr>
          <w:p>
            <w:pPr>
              <w:spacing w:after="0"/>
            </w:pPr>
            <w:r>
              <w:rPr>
                <w:rFonts w:ascii="맑은 고딕" w:eastAsia="맑은 고딕" w:hAnsi="맑은 고딕"/>
                <w:b w:val="0"/>
                <w:sz w:val="16"/>
              </w:rPr>
              <w:t>엄마·아이·궤도·지도 은유를 활용한 표지 방향 제안.</w:t>
            </w:r>
          </w:p>
        </w:tc>
      </w:tr>
    </w:tbl>
    <w:p/>
    <w:p>
      <w:pPr>
        <w:pStyle w:val="Heading1"/>
        <w:spacing w:after="120" w:before="320"/>
      </w:pPr>
      <w:r>
        <w:rPr>
          <w:rFonts w:ascii="맑은 고딕" w:eastAsia="맑은 고딕" w:hAnsi="맑은 고딕"/>
          <w:color w:val="1F2937"/>
        </w:rPr>
        <w:t>10. 홍보와 마케팅 아이디어</w:t>
      </w:r>
    </w:p>
    <w:p>
      <w:pPr>
        <w:pStyle w:val="Heading2"/>
        <w:spacing w:after="80" w:before="160"/>
      </w:pPr>
      <w:r>
        <w:rPr>
          <w:rFonts w:ascii="맑은 고딕" w:eastAsia="맑은 고딕" w:hAnsi="맑은 고딕"/>
          <w:color w:val="374151"/>
        </w:rPr>
        <w:t>저자 채널</w:t>
      </w:r>
    </w:p>
    <w:p>
      <w:pPr>
        <w:spacing w:after="80" w:line="276" w:lineRule="auto"/>
      </w:pPr>
      <w:r>
        <w:rPr>
          <w:lang w:eastAsia="ko-KR"/>
          <w:rFonts w:ascii="맑은 고딕" w:eastAsia="맑은 고딕" w:hAnsi="맑은 고딕"/>
          <w:sz w:val="20"/>
          <w:rtl w:val="off"/>
        </w:rPr>
        <w:t>‘</w:t>
      </w:r>
      <w:r>
        <w:rPr>
          <w:rFonts w:ascii="맑은 고딕" w:eastAsia="맑은 고딕" w:hAnsi="맑은 고딕"/>
          <w:sz w:val="20"/>
        </w:rPr>
        <w:t>자퇴를 권하는 글</w:t>
      </w:r>
      <w:r>
        <w:rPr>
          <w:lang w:eastAsia="ko-KR"/>
          <w:rFonts w:ascii="맑은 고딕" w:eastAsia="맑은 고딕" w:hAnsi="맑은 고딕"/>
          <w:sz w:val="20"/>
          <w:rtl w:val="off"/>
        </w:rPr>
        <w:t>’</w:t>
      </w:r>
      <w:r>
        <w:rPr>
          <w:rFonts w:ascii="맑은 고딕" w:eastAsia="맑은 고딕" w:hAnsi="맑은 고딕"/>
          <w:sz w:val="20"/>
        </w:rPr>
        <w:t xml:space="preserve">이 아니라 </w:t>
      </w:r>
      <w:r>
        <w:rPr>
          <w:lang w:eastAsia="ko-KR"/>
          <w:rFonts w:ascii="맑은 고딕" w:eastAsia="맑은 고딕" w:hAnsi="맑은 고딕"/>
          <w:sz w:val="20"/>
          <w:rtl w:val="off"/>
        </w:rPr>
        <w:t>‘</w:t>
      </w:r>
      <w:r>
        <w:rPr>
          <w:rFonts w:ascii="맑은 고딕" w:eastAsia="맑은 고딕" w:hAnsi="맑은 고딕"/>
          <w:sz w:val="20"/>
        </w:rPr>
        <w:t>아이의 선택 앞에서 부모가 흔들리는 시간</w:t>
      </w:r>
      <w:r>
        <w:rPr>
          <w:lang w:eastAsia="ko-KR"/>
          <w:rFonts w:ascii="맑은 고딕" w:eastAsia="맑은 고딕" w:hAnsi="맑은 고딕"/>
          <w:sz w:val="20"/>
          <w:rtl w:val="off"/>
        </w:rPr>
        <w:t>’</w:t>
      </w:r>
      <w:r>
        <w:rPr>
          <w:rFonts w:ascii="맑은 고딕" w:eastAsia="맑은 고딕" w:hAnsi="맑은 고딕"/>
          <w:sz w:val="20"/>
        </w:rPr>
        <w:t xml:space="preserve">을 주제로 연재를 시작합니다. </w:t>
      </w:r>
    </w:p>
    <w:p>
      <w:pPr>
        <w:pStyle w:val="Heading2"/>
        <w:spacing w:after="80" w:before="160"/>
      </w:pPr>
      <w:r>
        <w:rPr>
          <w:rFonts w:ascii="맑은 고딕" w:eastAsia="맑은 고딕" w:hAnsi="맑은 고딕"/>
          <w:color w:val="374151"/>
        </w:rPr>
        <w:t>콘텐츠 확장</w:t>
      </w:r>
    </w:p>
    <w:p>
      <w:pPr>
        <w:pStyle w:val="ListBullet"/>
        <w:spacing w:after="40"/>
      </w:pPr>
      <w:r>
        <w:rPr>
          <w:rFonts w:ascii="맑은 고딕" w:eastAsia="맑은 고딕" w:hAnsi="맑은 고딕"/>
          <w:sz w:val="19"/>
        </w:rPr>
        <w:t>연재 제목 후보: 「엄마, 나 학교 그만둘래」, 「자퇴서에 도장을 찍던 날」, 「아이를 믿는다는 말의 무게」</w:t>
      </w:r>
    </w:p>
    <w:p>
      <w:pPr>
        <w:pStyle w:val="ListBullet"/>
        <w:spacing w:after="40"/>
      </w:pPr>
      <w:r>
        <w:rPr>
          <w:rFonts w:ascii="맑은 고딕" w:eastAsia="맑은 고딕" w:hAnsi="맑은 고딕"/>
          <w:sz w:val="19"/>
        </w:rPr>
        <w:t>북토크 주제: 자퇴를 허락한 뒤 진짜 시작된 불안 / 사랑과 통제의 경계 / 대학을 다시 생각한다는 것</w:t>
      </w:r>
    </w:p>
    <w:p>
      <w:pPr>
        <w:pStyle w:val="ListBullet"/>
        <w:spacing w:after="40"/>
      </w:pPr>
      <w:r>
        <w:rPr>
          <w:rFonts w:ascii="맑은 고딕" w:eastAsia="맑은 고딕" w:hAnsi="맑은 고딕"/>
          <w:sz w:val="19"/>
        </w:rPr>
        <w:t>다운로드 자료: “아이의 선택 앞에서 부모가 던져볼 10가지 질문”, “부모의 불안을 점검하는 문장 카드”</w:t>
      </w:r>
    </w:p>
    <w:p>
      <w:pPr>
        <w:pStyle w:val="ListBullet"/>
        <w:spacing w:after="40"/>
      </w:pPr>
      <w:r>
        <w:rPr>
          <w:rFonts w:ascii="맑은 고딕" w:eastAsia="맑은 고딕" w:hAnsi="맑은 고딕"/>
          <w:sz w:val="19"/>
        </w:rPr>
        <w:t>독서 모임 질문지: 내 바람은 아이의 꿈과 어디에서 어긋났나, 나는 무엇을 안전이라고 배웠나, 아이의 재선택을 어떻게 기다릴 것인가</w:t>
      </w:r>
    </w:p>
    <w:p>
      <w:pPr>
        <w:pStyle w:val="Heading2"/>
        <w:spacing w:after="80" w:before="160"/>
      </w:pPr>
      <w:r>
        <w:rPr>
          <w:rFonts w:ascii="맑은 고딕" w:eastAsia="맑은 고딕" w:hAnsi="맑은 고딕"/>
          <w:color w:val="374151"/>
        </w:rPr>
        <w:t>판매 포인트</w:t>
      </w:r>
    </w:p>
    <w:p>
      <w:pPr>
        <w:pStyle w:val="ListBullet"/>
        <w:spacing w:after="40"/>
      </w:pPr>
      <w:r>
        <w:rPr>
          <w:rFonts w:ascii="맑은 고딕" w:eastAsia="맑은 고딕" w:hAnsi="맑은 고딕"/>
          <w:sz w:val="19"/>
        </w:rPr>
        <w:t>표지 카피: “아이는 학교를 떠났고, 엄마는 낡은 사랑의 방식을 떠났다.”</w:t>
      </w:r>
    </w:p>
    <w:p>
      <w:pPr>
        <w:pStyle w:val="ListBullet"/>
        <w:spacing w:after="40"/>
      </w:pPr>
      <w:r>
        <w:rPr>
          <w:rFonts w:ascii="맑은 고딕" w:eastAsia="맑은 고딕" w:hAnsi="맑은 고딕"/>
          <w:sz w:val="19"/>
        </w:rPr>
        <w:t>표지 카피: “나는 아이에게 지도를 쥐여주고 싶었지만, 아이는 자기만의 궤도를 그리고 있었다.”</w:t>
      </w:r>
    </w:p>
    <w:p>
      <w:pPr>
        <w:pStyle w:val="ListBullet"/>
        <w:spacing w:after="40"/>
      </w:pPr>
      <w:r>
        <w:rPr>
          <w:rFonts w:ascii="맑은 고딕" w:eastAsia="맑은 고딕" w:hAnsi="맑은 고딕"/>
          <w:sz w:val="19"/>
        </w:rPr>
        <w:t>검색 키워드: 자퇴, 학교 밖 청소년, 자사고, 검정고시, 대학 진학, 부모 불안, 사춘기 자녀, 진로 고민, 엄마 에세이</w:t>
      </w:r>
    </w:p>
    <w:p>
      <w:pPr>
        <w:pStyle w:val="ListBullet"/>
        <w:spacing w:after="40"/>
      </w:pPr>
      <w:r>
        <w:rPr>
          <w:rFonts w:ascii="맑은 고딕" w:eastAsia="맑은 고딕" w:hAnsi="맑은 고딕"/>
          <w:sz w:val="19"/>
        </w:rPr>
        <w:t>시즌성: 중·고등학교 진학 시기, 학기 초·말, 검정고시 접수·합격 발표 시기, 대학 수시·정시 시즌과 연동 가능</w:t>
      </w:r>
    </w:p>
    <w:p>
      <w:pPr>
        <w:pStyle w:val="Heading2"/>
        <w:spacing w:after="80" w:before="160"/>
      </w:pPr>
      <w:r>
        <w:rPr>
          <w:rFonts w:ascii="맑은 고딕" w:eastAsia="맑은 고딕" w:hAnsi="맑은 고딕"/>
          <w:color w:val="374151"/>
        </w:rPr>
        <w:t>협업 가능성</w:t>
      </w:r>
    </w:p>
    <w:p>
      <w:pPr>
        <w:spacing w:after="80" w:line="276" w:lineRule="auto"/>
        <w:rPr>
          <w:lang w:eastAsia="ko-KR"/>
          <w:rFonts w:ascii="맑은 고딕" w:eastAsia="맑은 고딕" w:hAnsi="맑은 고딕" w:hint="eastAsia"/>
          <w:sz w:val="20"/>
          <w:rtl w:val="off"/>
        </w:rPr>
      </w:pPr>
      <w:r>
        <w:rPr>
          <w:rFonts w:ascii="맑은 고딕" w:eastAsia="맑은 고딕" w:hAnsi="맑은 고딕"/>
          <w:sz w:val="20"/>
        </w:rPr>
        <w:t xml:space="preserve">학교 밖 청소년 지원센터, 대안교육 관련 단체, 청소년 상담 기관, 학부모 커뮤니티, 진로 코칭 프로그램, 교육 팟캐스트·유튜브와 협업 가능성이 있습니다. 단, 책의 메시지가 </w:t>
      </w:r>
      <w:r>
        <w:rPr>
          <w:lang w:eastAsia="ko-KR"/>
          <w:rFonts w:ascii="맑은 고딕" w:eastAsia="맑은 고딕" w:hAnsi="맑은 고딕"/>
          <w:sz w:val="20"/>
          <w:rtl w:val="off"/>
        </w:rPr>
        <w:t>‘</w:t>
      </w:r>
      <w:r>
        <w:rPr>
          <w:rFonts w:ascii="맑은 고딕" w:eastAsia="맑은 고딕" w:hAnsi="맑은 고딕"/>
          <w:sz w:val="20"/>
        </w:rPr>
        <w:t>자퇴 권장</w:t>
      </w:r>
      <w:r>
        <w:rPr>
          <w:lang w:eastAsia="ko-KR"/>
          <w:rFonts w:ascii="맑은 고딕" w:eastAsia="맑은 고딕" w:hAnsi="맑은 고딕"/>
          <w:sz w:val="20"/>
          <w:rtl w:val="off"/>
        </w:rPr>
        <w:t>’</w:t>
      </w:r>
      <w:r>
        <w:rPr>
          <w:rFonts w:ascii="맑은 고딕" w:eastAsia="맑은 고딕" w:hAnsi="맑은 고딕"/>
          <w:sz w:val="20"/>
        </w:rPr>
        <w:t xml:space="preserve">으로 오해되지 않도록 모든 홍보 문구에서 </w:t>
      </w:r>
      <w:r>
        <w:rPr>
          <w:lang w:eastAsia="ko-KR"/>
          <w:rFonts w:ascii="맑은 고딕" w:eastAsia="맑은 고딕" w:hAnsi="맑은 고딕"/>
          <w:sz w:val="20"/>
          <w:rtl w:val="off"/>
        </w:rPr>
        <w:t>‘</w:t>
      </w:r>
      <w:r>
        <w:rPr>
          <w:rFonts w:ascii="맑은 고딕" w:eastAsia="맑은 고딕" w:hAnsi="맑은 고딕"/>
          <w:sz w:val="20"/>
        </w:rPr>
        <w:t>각자의 길을 고민하는 가족의 기록</w:t>
      </w:r>
      <w:r>
        <w:rPr>
          <w:lang w:eastAsia="ko-KR"/>
          <w:rFonts w:ascii="맑은 고딕" w:eastAsia="맑은 고딕" w:hAnsi="맑은 고딕"/>
          <w:sz w:val="20"/>
          <w:rtl w:val="off"/>
        </w:rPr>
        <w:t>’</w:t>
      </w:r>
      <w:r>
        <w:rPr>
          <w:rFonts w:ascii="맑은 고딕" w:eastAsia="맑은 고딕" w:hAnsi="맑은 고딕"/>
          <w:sz w:val="20"/>
        </w:rPr>
        <w:t>이라는 균형을 유지합니다.</w:t>
      </w:r>
    </w:p>
    <w:p>
      <w:pPr>
        <w:spacing w:after="80" w:line="276" w:lineRule="auto"/>
      </w:pPr>
    </w:p>
    <w:p>
      <w:pPr>
        <w:pStyle w:val="Heading1"/>
        <w:spacing w:after="120" w:before="320"/>
      </w:pPr>
      <w:r>
        <w:rPr>
          <w:rFonts w:ascii="맑은 고딕" w:eastAsia="맑은 고딕" w:hAnsi="맑은 고딕"/>
          <w:color w:val="1F2937"/>
        </w:rPr>
        <w:t>11. 투고 패키지 체크리스트</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3457"/>
        <w:gridCol w:w="3457"/>
        <w:gridCol w:w="3457"/>
      </w:tblGrid>
      <w:tr>
        <w:trPr>
          <w:tblHeader/>
        </w:trPr>
        <w:tc>
          <w:tcPr>
            <w:tcW w:w="1814" w:type="dxa"/>
            <w:shd w:val="clear" w:color="auto" w:fill="EEF2F7"/>
            <w:vAlign w:val="center"/>
          </w:tcPr>
          <w:p>
            <w:pPr>
              <w:spacing w:after="0"/>
            </w:pPr>
            <w:r>
              <w:rPr>
                <w:rFonts w:ascii="맑은 고딕" w:eastAsia="맑은 고딕" w:hAnsi="맑은 고딕"/>
                <w:b/>
                <w:color w:val="1F2937"/>
                <w:sz w:val="16"/>
              </w:rPr>
              <w:t>항목</w:t>
            </w:r>
          </w:p>
        </w:tc>
        <w:tc>
          <w:tcPr>
            <w:tcW w:w="1701" w:type="dxa"/>
            <w:shd w:val="clear" w:color="auto" w:fill="EEF2F7"/>
            <w:vAlign w:val="center"/>
          </w:tcPr>
          <w:p>
            <w:pPr>
              <w:spacing w:after="0"/>
            </w:pPr>
            <w:r>
              <w:rPr>
                <w:rFonts w:ascii="맑은 고딕" w:eastAsia="맑은 고딕" w:hAnsi="맑은 고딕"/>
                <w:b/>
                <w:color w:val="1F2937"/>
                <w:sz w:val="16"/>
              </w:rPr>
              <w:t>준비 여부</w:t>
            </w:r>
          </w:p>
        </w:tc>
        <w:tc>
          <w:tcPr>
            <w:tcW w:w="5783" w:type="dxa"/>
            <w:shd w:val="clear" w:color="auto" w:fill="EEF2F7"/>
            <w:vAlign w:val="center"/>
          </w:tcPr>
          <w:p>
            <w:pPr>
              <w:spacing w:after="0"/>
            </w:pPr>
            <w:r>
              <w:rPr>
                <w:rFonts w:ascii="맑은 고딕" w:eastAsia="맑은 고딕" w:hAnsi="맑은 고딕"/>
                <w:b/>
                <w:color w:val="1F2937"/>
                <w:sz w:val="16"/>
              </w:rPr>
              <w:t>확인할 점</w:t>
            </w:r>
          </w:p>
        </w:tc>
      </w:tr>
      <w:tr>
        <w:tc>
          <w:tcPr>
            <w:tcW w:w="1814" w:type="dxa"/>
            <w:vAlign w:val="top"/>
          </w:tcPr>
          <w:p>
            <w:pPr>
              <w:spacing w:after="0"/>
            </w:pPr>
            <w:r>
              <w:rPr>
                <w:rFonts w:ascii="맑은 고딕" w:eastAsia="맑은 고딕" w:hAnsi="맑은 고딕"/>
                <w:b w:val="0"/>
                <w:sz w:val="16"/>
              </w:rPr>
              <w:t>출판기획서</w:t>
            </w:r>
          </w:p>
        </w:tc>
        <w:tc>
          <w:tcPr>
            <w:tcW w:w="1701" w:type="dxa"/>
            <w:vAlign w:val="top"/>
          </w:tcPr>
          <w:p>
            <w:pPr>
              <w:spacing w:after="0"/>
            </w:pPr>
            <w:r>
              <w:rPr>
                <w:rFonts w:ascii="맑은 고딕" w:eastAsia="맑은 고딕" w:hAnsi="맑은 고딕"/>
                <w:b w:val="0"/>
                <w:sz w:val="16"/>
              </w:rPr>
              <w:t>완료</w:t>
            </w:r>
          </w:p>
        </w:tc>
        <w:tc>
          <w:tcPr>
            <w:tcW w:w="5783" w:type="dxa"/>
            <w:vAlign w:val="top"/>
          </w:tcPr>
          <w:p>
            <w:pPr>
              <w:spacing w:after="0"/>
            </w:pPr>
            <w:r>
              <w:rPr>
                <w:rFonts w:ascii="맑은 고딕" w:eastAsia="맑은 고딕" w:hAnsi="맑은 고딕"/>
                <w:b w:val="0"/>
                <w:sz w:val="16"/>
              </w:rPr>
              <w:t>제목, 독자, 시장성, 목차, 차별화가 명확한지 최종 확인.</w:t>
            </w:r>
          </w:p>
        </w:tc>
      </w:tr>
      <w:tr>
        <w:tc>
          <w:tcPr>
            <w:tcW w:w="1814" w:type="dxa"/>
            <w:vAlign w:val="top"/>
          </w:tcPr>
          <w:p>
            <w:pPr>
              <w:spacing w:after="0"/>
            </w:pPr>
            <w:r>
              <w:rPr>
                <w:rFonts w:ascii="맑은 고딕" w:eastAsia="맑은 고딕" w:hAnsi="맑은 고딕"/>
                <w:b w:val="0"/>
                <w:sz w:val="16"/>
              </w:rPr>
              <w:t>샘플 원고</w:t>
            </w:r>
          </w:p>
        </w:tc>
        <w:tc>
          <w:tcPr>
            <w:tcW w:w="1701" w:type="dxa"/>
            <w:vAlign w:val="top"/>
          </w:tcPr>
          <w:p>
            <w:pPr>
              <w:spacing w:after="0"/>
            </w:pPr>
            <w:r>
              <w:rPr>
                <w:rFonts w:ascii="맑은 고딕" w:eastAsia="맑은 고딕" w:hAnsi="맑은 고딕"/>
                <w:b w:val="0"/>
                <w:sz w:val="16"/>
              </w:rPr>
              <w:t>준비 필요</w:t>
            </w:r>
          </w:p>
        </w:tc>
        <w:tc>
          <w:tcPr>
            <w:tcW w:w="5783" w:type="dxa"/>
            <w:vAlign w:val="top"/>
          </w:tcPr>
          <w:p>
            <w:pPr>
              <w:spacing w:after="0"/>
            </w:pPr>
            <w:r>
              <w:rPr>
                <w:rFonts w:ascii="맑은 고딕" w:eastAsia="맑은 고딕" w:hAnsi="맑은 고딕"/>
                <w:b w:val="0"/>
                <w:sz w:val="16"/>
              </w:rPr>
              <w:t>프롤로그 또는 3장 “그날 밤, 식탁에서” 중 하나를 5~10쪽 분량으로 작성 권장.</w:t>
            </w:r>
          </w:p>
        </w:tc>
      </w:tr>
      <w:tr>
        <w:tc>
          <w:tcPr>
            <w:tcW w:w="1814" w:type="dxa"/>
            <w:vAlign w:val="top"/>
          </w:tcPr>
          <w:p>
            <w:pPr>
              <w:spacing w:after="0"/>
            </w:pPr>
            <w:r>
              <w:rPr>
                <w:rFonts w:ascii="맑은 고딕" w:eastAsia="맑은 고딕" w:hAnsi="맑은 고딕"/>
                <w:b w:val="0"/>
                <w:sz w:val="16"/>
              </w:rPr>
              <w:t>저자 프로필</w:t>
            </w:r>
          </w:p>
        </w:tc>
        <w:tc>
          <w:tcPr>
            <w:tcW w:w="1701" w:type="dxa"/>
            <w:vAlign w:val="top"/>
          </w:tcPr>
          <w:p>
            <w:pPr>
              <w:spacing w:after="0"/>
            </w:pPr>
            <w:r>
              <w:rPr>
                <w:rFonts w:ascii="맑은 고딕" w:eastAsia="맑은 고딕" w:hAnsi="맑은 고딕"/>
                <w:b w:val="0"/>
                <w:sz w:val="16"/>
              </w:rPr>
              <w:t>보완 필요</w:t>
            </w:r>
          </w:p>
        </w:tc>
        <w:tc>
          <w:tcPr>
            <w:tcW w:w="5783" w:type="dxa"/>
            <w:vAlign w:val="top"/>
          </w:tcPr>
          <w:p>
            <w:pPr>
              <w:spacing w:after="0"/>
            </w:pPr>
            <w:r>
              <w:rPr>
                <w:rFonts w:ascii="맑은 고딕" w:eastAsia="맑은 고딕" w:hAnsi="맑은 고딕"/>
                <w:b w:val="0"/>
                <w:sz w:val="16"/>
              </w:rPr>
              <w:t>실명/필명, 연락처, 기존 콘텐츠, SNS·브런치·블로그 링크 기입.</w:t>
            </w:r>
          </w:p>
        </w:tc>
      </w:tr>
      <w:tr>
        <w:tc>
          <w:tcPr>
            <w:tcW w:w="1814" w:type="dxa"/>
            <w:vAlign w:val="top"/>
          </w:tcPr>
          <w:p>
            <w:pPr>
              <w:spacing w:after="0"/>
            </w:pPr>
            <w:r>
              <w:rPr>
                <w:rFonts w:ascii="맑은 고딕" w:eastAsia="맑은 고딕" w:hAnsi="맑은 고딕"/>
                <w:b w:val="0"/>
                <w:sz w:val="16"/>
              </w:rPr>
              <w:t>경쟁도서 조사</w:t>
            </w:r>
          </w:p>
        </w:tc>
        <w:tc>
          <w:tcPr>
            <w:tcW w:w="1701" w:type="dxa"/>
            <w:vAlign w:val="top"/>
          </w:tcPr>
          <w:p>
            <w:pPr>
              <w:spacing w:after="0"/>
            </w:pPr>
            <w:r>
              <w:rPr>
                <w:rFonts w:ascii="맑은 고딕" w:eastAsia="맑은 고딕" w:hAnsi="맑은 고딕"/>
                <w:b w:val="0"/>
                <w:sz w:val="16"/>
              </w:rPr>
              <w:t>1차 완료</w:t>
            </w:r>
          </w:p>
        </w:tc>
        <w:tc>
          <w:tcPr>
            <w:tcW w:w="5783" w:type="dxa"/>
            <w:vAlign w:val="top"/>
          </w:tcPr>
          <w:p>
            <w:pPr>
              <w:spacing w:after="0"/>
            </w:pPr>
            <w:r>
              <w:rPr>
                <w:rFonts w:ascii="맑은 고딕" w:eastAsia="맑은 고딕" w:hAnsi="맑은 고딕"/>
                <w:b w:val="0"/>
                <w:sz w:val="16"/>
              </w:rPr>
              <w:t>실제 투고 전 온라인 서점 순위·리뷰·목차를 추가 확인하면 더 좋음.</w:t>
            </w:r>
          </w:p>
        </w:tc>
      </w:tr>
      <w:tr>
        <w:tc>
          <w:tcPr>
            <w:tcW w:w="1814" w:type="dxa"/>
            <w:vAlign w:val="top"/>
          </w:tcPr>
          <w:p>
            <w:pPr>
              <w:spacing w:after="0"/>
            </w:pPr>
            <w:r>
              <w:rPr>
                <w:rFonts w:ascii="맑은 고딕" w:eastAsia="맑은 고딕" w:hAnsi="맑은 고딕"/>
                <w:b w:val="0"/>
                <w:sz w:val="16"/>
              </w:rPr>
              <w:t>연락처/채널</w:t>
            </w:r>
          </w:p>
        </w:tc>
        <w:tc>
          <w:tcPr>
            <w:tcW w:w="1701" w:type="dxa"/>
            <w:vAlign w:val="top"/>
          </w:tcPr>
          <w:p>
            <w:pPr>
              <w:spacing w:after="0"/>
            </w:pPr>
            <w:r>
              <w:rPr>
                <w:rFonts w:ascii="맑은 고딕" w:eastAsia="맑은 고딕" w:hAnsi="맑은 고딕"/>
                <w:b w:val="0"/>
                <w:sz w:val="16"/>
              </w:rPr>
              <w:t>기입 필요</w:t>
            </w:r>
          </w:p>
        </w:tc>
        <w:tc>
          <w:tcPr>
            <w:tcW w:w="5783" w:type="dxa"/>
            <w:vAlign w:val="top"/>
          </w:tcPr>
          <w:p>
            <w:pPr>
              <w:spacing w:after="0"/>
            </w:pPr>
            <w:r>
              <w:rPr>
                <w:rFonts w:ascii="맑은 고딕" w:eastAsia="맑은 고딕" w:hAnsi="맑은 고딕"/>
                <w:b w:val="0"/>
                <w:sz w:val="16"/>
              </w:rPr>
              <w:t>출판사가 바로 연락할 수 있는 이메일·전화·저자 채널 링크 확인.</w:t>
            </w:r>
          </w:p>
        </w:tc>
      </w:tr>
      <w:tr>
        <w:tc>
          <w:tcPr>
            <w:tcW w:w="1814" w:type="dxa"/>
            <w:vAlign w:val="top"/>
          </w:tcPr>
          <w:p>
            <w:pPr>
              <w:spacing w:after="0"/>
            </w:pPr>
            <w:r>
              <w:rPr>
                <w:rFonts w:ascii="맑은 고딕" w:eastAsia="맑은 고딕" w:hAnsi="맑은 고딕"/>
                <w:b w:val="0"/>
                <w:sz w:val="16"/>
              </w:rPr>
              <w:t>민감 정보 점검</w:t>
            </w:r>
          </w:p>
        </w:tc>
        <w:tc>
          <w:tcPr>
            <w:tcW w:w="1701" w:type="dxa"/>
            <w:vAlign w:val="top"/>
          </w:tcPr>
          <w:p>
            <w:pPr>
              <w:spacing w:after="0"/>
            </w:pPr>
            <w:r>
              <w:rPr>
                <w:rFonts w:ascii="맑은 고딕" w:eastAsia="맑은 고딕" w:hAnsi="맑은 고딕"/>
                <w:b w:val="0"/>
                <w:sz w:val="16"/>
              </w:rPr>
              <w:t>준비 필요</w:t>
            </w:r>
          </w:p>
        </w:tc>
        <w:tc>
          <w:tcPr>
            <w:tcW w:w="5783" w:type="dxa"/>
            <w:vAlign w:val="top"/>
          </w:tcPr>
          <w:p>
            <w:pPr>
              <w:spacing w:after="0"/>
            </w:pPr>
            <w:r>
              <w:rPr>
                <w:rFonts w:ascii="맑은 고딕" w:eastAsia="맑은 고딕" w:hAnsi="맑은 고딕"/>
                <w:b w:val="0"/>
                <w:sz w:val="16"/>
              </w:rPr>
              <w:t>아이의 동의, 학교명·개인정보 비식별, 가족 대화 재현 범위 확인.</w:t>
            </w:r>
          </w:p>
        </w:tc>
      </w:tr>
    </w:tbl>
    <w:p/>
    <w:p>
      <w:pPr>
        <w:pStyle w:val="Heading1"/>
        <w:spacing w:after="120" w:before="320"/>
      </w:pPr>
      <w:r>
        <w:rPr>
          <w:rFonts w:ascii="맑은 고딕" w:eastAsia="맑은 고딕" w:hAnsi="맑은 고딕"/>
          <w:color w:val="1F2937"/>
        </w:rPr>
        <w:t>1</w:t>
      </w:r>
      <w:r>
        <w:rPr>
          <w:lang w:eastAsia="ko-KR"/>
          <w:rFonts w:ascii="맑은 고딕" w:eastAsia="맑은 고딕" w:hAnsi="맑은 고딕"/>
          <w:color w:val="1F2937"/>
          <w:rtl w:val="off"/>
        </w:rPr>
        <w:t>2</w:t>
      </w:r>
      <w:r>
        <w:rPr>
          <w:rFonts w:ascii="맑은 고딕" w:eastAsia="맑은 고딕" w:hAnsi="맑은 고딕"/>
          <w:color w:val="1F2937"/>
        </w:rPr>
        <w:t>. 참고한 웹 자료</w:t>
      </w:r>
    </w:p>
    <w:tbl>
      <w:tblPr>
        <w:tblStyle w:val="TableGrid"/>
        <w:tblW w:w="0" w:type="auto"/>
        <w:tblBorders>
          <w:top w:val="single" w:sz="4" w:space="0" w:color="D9DEE7"/>
          <w:left w:val="single" w:sz="4" w:space="0" w:color="D9DEE7"/>
          <w:bottom w:val="single" w:sz="4" w:space="0" w:color="D9DEE7"/>
          <w:right w:val="single" w:sz="4" w:space="0" w:color="D9DEE7"/>
          <w:insideH w:val="single" w:sz="4" w:space="0" w:color="D9DEE7"/>
          <w:insideV w:val="single" w:sz="4" w:space="0" w:color="D9DEE7"/>
        </w:tblBorders>
        <w:tblLook w:val="04A0" w:firstRow="1" w:lastRow="0" w:firstColumn="1" w:lastColumn="0" w:noHBand="0" w:noVBand="1"/>
        <w:jc w:val="center"/>
        <w:tblLayout w:type="autofit"/>
      </w:tblPr>
      <w:tblGrid>
        <w:gridCol w:w="2592"/>
        <w:gridCol w:w="2592"/>
        <w:gridCol w:w="2592"/>
        <w:gridCol w:w="2592"/>
      </w:tblGrid>
      <w:tr>
        <w:trPr>
          <w:tblHeader/>
        </w:trPr>
        <w:tc>
          <w:tcPr>
            <w:tcW w:w="1191" w:type="dxa"/>
            <w:shd w:val="clear" w:color="auto" w:fill="EEF2F7"/>
            <w:vAlign w:val="center"/>
          </w:tcPr>
          <w:p>
            <w:pPr>
              <w:spacing w:after="0"/>
            </w:pPr>
            <w:r>
              <w:rPr>
                <w:rFonts w:ascii="맑은 고딕" w:eastAsia="맑은 고딕" w:hAnsi="맑은 고딕"/>
                <w:b/>
                <w:color w:val="1F2937"/>
                <w:sz w:val="13"/>
              </w:rPr>
              <w:t>용도</w:t>
            </w:r>
          </w:p>
        </w:tc>
        <w:tc>
          <w:tcPr>
            <w:tcW w:w="2494" w:type="dxa"/>
            <w:shd w:val="clear" w:color="auto" w:fill="EEF2F7"/>
            <w:vAlign w:val="center"/>
          </w:tcPr>
          <w:p>
            <w:pPr>
              <w:spacing w:after="0"/>
            </w:pPr>
            <w:r>
              <w:rPr>
                <w:rFonts w:ascii="맑은 고딕" w:eastAsia="맑은 고딕" w:hAnsi="맑은 고딕"/>
                <w:b/>
                <w:color w:val="1F2937"/>
                <w:sz w:val="13"/>
              </w:rPr>
              <w:t>자료</w:t>
            </w:r>
          </w:p>
        </w:tc>
        <w:tc>
          <w:tcPr>
            <w:tcW w:w="3061" w:type="dxa"/>
            <w:shd w:val="clear" w:color="auto" w:fill="EEF2F7"/>
            <w:vAlign w:val="center"/>
          </w:tcPr>
          <w:p>
            <w:pPr>
              <w:spacing w:after="0"/>
            </w:pPr>
            <w:r>
              <w:rPr>
                <w:rFonts w:ascii="맑은 고딕" w:eastAsia="맑은 고딕" w:hAnsi="맑은 고딕"/>
                <w:b/>
                <w:color w:val="1F2937"/>
                <w:sz w:val="13"/>
              </w:rPr>
              <w:t>활용 내용</w:t>
            </w:r>
          </w:p>
        </w:tc>
        <w:tc>
          <w:tcPr>
            <w:tcW w:w="2778" w:type="dxa"/>
            <w:shd w:val="clear" w:color="auto" w:fill="EEF2F7"/>
            <w:vAlign w:val="center"/>
          </w:tcPr>
          <w:p>
            <w:pPr>
              <w:spacing w:after="0"/>
            </w:pPr>
            <w:r>
              <w:rPr>
                <w:rFonts w:ascii="맑은 고딕" w:eastAsia="맑은 고딕" w:hAnsi="맑은 고딕"/>
                <w:b/>
                <w:color w:val="1F2937"/>
                <w:sz w:val="13"/>
              </w:rPr>
              <w:t>URL</w:t>
            </w:r>
          </w:p>
        </w:tc>
      </w:tr>
      <w:tr>
        <w:tc>
          <w:tcPr>
            <w:tcW w:w="1191" w:type="dxa"/>
            <w:vAlign w:val="top"/>
          </w:tcPr>
          <w:p>
            <w:pPr>
              <w:spacing w:after="0"/>
            </w:pPr>
            <w:r>
              <w:rPr>
                <w:rFonts w:ascii="맑은 고딕" w:eastAsia="맑은 고딕" w:hAnsi="맑은 고딕"/>
                <w:b w:val="0"/>
                <w:sz w:val="13"/>
              </w:rPr>
              <w:t>시장/통계</w:t>
            </w:r>
          </w:p>
        </w:tc>
        <w:tc>
          <w:tcPr>
            <w:tcW w:w="2494" w:type="dxa"/>
            <w:vAlign w:val="top"/>
          </w:tcPr>
          <w:p>
            <w:pPr>
              <w:spacing w:after="0"/>
            </w:pPr>
            <w:r>
              <w:rPr>
                <w:rFonts w:ascii="맑은 고딕" w:eastAsia="맑은 고딕" w:hAnsi="맑은 고딕"/>
                <w:b w:val="0"/>
                <w:sz w:val="13"/>
              </w:rPr>
              <w:t>성평등가족부·정책브리핑, 2025 학교 밖 청소년 실태조사 보도자료</w:t>
            </w:r>
          </w:p>
        </w:tc>
        <w:tc>
          <w:tcPr>
            <w:tcW w:w="3061" w:type="dxa"/>
            <w:vAlign w:val="top"/>
          </w:tcPr>
          <w:p>
            <w:pPr>
              <w:spacing w:after="0"/>
            </w:pPr>
            <w:r>
              <w:rPr>
                <w:rFonts w:ascii="맑은 고딕" w:eastAsia="맑은 고딕" w:hAnsi="맑은 고딕"/>
                <w:b w:val="0"/>
                <w:sz w:val="13"/>
              </w:rPr>
              <w:t>학교 밖 청소년의 검정고시 준비와 대학진학 준비 수요 증가 흐름 확인</w:t>
            </w:r>
          </w:p>
        </w:tc>
        <w:tc>
          <w:tcPr>
            <w:tcW w:w="2778" w:type="dxa"/>
            <w:vAlign w:val="top"/>
          </w:tcPr>
          <w:p>
            <w:pPr>
              <w:spacing w:after="0"/>
            </w:pPr>
            <w:r>
              <w:rPr>
                <w:rFonts w:ascii="맑은 고딕" w:eastAsia="맑은 고딕" w:hAnsi="맑은 고딕"/>
                <w:b w:val="0"/>
                <w:sz w:val="13"/>
              </w:rPr>
              <w:t>https://www.korea.kr/briefing/pressReleaseView.do?newsId=156758153</w:t>
            </w:r>
          </w:p>
        </w:tc>
      </w:tr>
      <w:tr>
        <w:tc>
          <w:tcPr>
            <w:tcW w:w="1191" w:type="dxa"/>
            <w:vAlign w:val="top"/>
          </w:tcPr>
          <w:p>
            <w:pPr>
              <w:spacing w:after="0"/>
            </w:pPr>
            <w:r>
              <w:rPr>
                <w:rFonts w:ascii="맑은 고딕" w:eastAsia="맑은 고딕" w:hAnsi="맑은 고딕"/>
                <w:b w:val="0"/>
                <w:sz w:val="13"/>
              </w:rPr>
              <w:t>시장/통계</w:t>
            </w:r>
          </w:p>
        </w:tc>
        <w:tc>
          <w:tcPr>
            <w:tcW w:w="2494" w:type="dxa"/>
            <w:vAlign w:val="top"/>
          </w:tcPr>
          <w:p>
            <w:pPr>
              <w:spacing w:after="0"/>
            </w:pPr>
            <w:r>
              <w:rPr>
                <w:rFonts w:ascii="맑은 고딕" w:eastAsia="맑은 고딕" w:hAnsi="맑은 고딕"/>
                <w:b w:val="0"/>
                <w:sz w:val="13"/>
              </w:rPr>
              <w:t>한국청소년정책연구원 자료검색, 2025 학교 밖 청소년 실태조사</w:t>
            </w:r>
          </w:p>
        </w:tc>
        <w:tc>
          <w:tcPr>
            <w:tcW w:w="3061" w:type="dxa"/>
            <w:vAlign w:val="top"/>
          </w:tcPr>
          <w:p>
            <w:pPr>
              <w:spacing w:after="0"/>
            </w:pPr>
            <w:r>
              <w:rPr>
                <w:rFonts w:ascii="맑은 고딕" w:eastAsia="맑은 고딕" w:hAnsi="맑은 고딕"/>
                <w:b w:val="0"/>
                <w:sz w:val="13"/>
              </w:rPr>
              <w:t>보고서 서지 및 발간 정보 확인</w:t>
            </w:r>
          </w:p>
        </w:tc>
        <w:tc>
          <w:tcPr>
            <w:tcW w:w="2778" w:type="dxa"/>
            <w:vAlign w:val="top"/>
          </w:tcPr>
          <w:p>
            <w:pPr>
              <w:spacing w:after="0"/>
            </w:pPr>
            <w:r>
              <w:rPr>
                <w:rFonts w:ascii="맑은 고딕" w:eastAsia="맑은 고딕" w:hAnsi="맑은 고딕"/>
                <w:b w:val="0"/>
                <w:sz w:val="13"/>
              </w:rPr>
              <w:t>https://www.nypi.re.kr/lib/10150/contents/7738123</w:t>
            </w:r>
          </w:p>
        </w:tc>
      </w:tr>
      <w:tr>
        <w:tc>
          <w:tcPr>
            <w:tcW w:w="1191" w:type="dxa"/>
            <w:vAlign w:val="top"/>
          </w:tcPr>
          <w:p>
            <w:pPr>
              <w:spacing w:after="0"/>
            </w:pPr>
            <w:r>
              <w:rPr>
                <w:rFonts w:ascii="맑은 고딕" w:eastAsia="맑은 고딕" w:hAnsi="맑은 고딕"/>
                <w:b w:val="0"/>
                <w:sz w:val="13"/>
              </w:rPr>
              <w:t>경쟁도서</w:t>
            </w:r>
          </w:p>
        </w:tc>
        <w:tc>
          <w:tcPr>
            <w:tcW w:w="2494" w:type="dxa"/>
            <w:vAlign w:val="top"/>
          </w:tcPr>
          <w:p>
            <w:pPr>
              <w:spacing w:after="0"/>
            </w:pPr>
            <w:r>
              <w:rPr>
                <w:rFonts w:ascii="맑은 고딕" w:eastAsia="맑은 고딕" w:hAnsi="맑은 고딕"/>
                <w:b w:val="0"/>
                <w:sz w:val="13"/>
              </w:rPr>
              <w:t>YES24, 『열다섯, 그래도 자퇴하겠습니다』</w:t>
            </w:r>
          </w:p>
        </w:tc>
        <w:tc>
          <w:tcPr>
            <w:tcW w:w="3061" w:type="dxa"/>
            <w:vAlign w:val="top"/>
          </w:tcPr>
          <w:p>
            <w:pPr>
              <w:spacing w:after="0"/>
            </w:pPr>
            <w:r>
              <w:rPr>
                <w:rFonts w:ascii="맑은 고딕" w:eastAsia="맑은 고딕" w:hAnsi="맑은 고딕"/>
                <w:b w:val="0"/>
                <w:sz w:val="13"/>
              </w:rPr>
              <w:t>학교 밖 청소년 당사자 에세이와 편견·차별 메시지 비교</w:t>
            </w:r>
          </w:p>
        </w:tc>
        <w:tc>
          <w:tcPr>
            <w:tcW w:w="2778" w:type="dxa"/>
            <w:vAlign w:val="top"/>
          </w:tcPr>
          <w:p>
            <w:pPr>
              <w:spacing w:after="0"/>
            </w:pPr>
            <w:r>
              <w:rPr>
                <w:rFonts w:ascii="맑은 고딕" w:eastAsia="맑은 고딕" w:hAnsi="맑은 고딕"/>
                <w:b w:val="0"/>
                <w:sz w:val="13"/>
              </w:rPr>
              <w:t>https://www.yes24.com/product/goods/112028596</w:t>
            </w:r>
          </w:p>
        </w:tc>
      </w:tr>
      <w:tr>
        <w:tc>
          <w:tcPr>
            <w:tcW w:w="1191" w:type="dxa"/>
            <w:vAlign w:val="top"/>
          </w:tcPr>
          <w:p>
            <w:pPr>
              <w:spacing w:after="0"/>
            </w:pPr>
            <w:r>
              <w:rPr>
                <w:rFonts w:ascii="맑은 고딕" w:eastAsia="맑은 고딕" w:hAnsi="맑은 고딕"/>
                <w:b w:val="0"/>
                <w:sz w:val="13"/>
              </w:rPr>
              <w:t>경쟁도서</w:t>
            </w:r>
          </w:p>
        </w:tc>
        <w:tc>
          <w:tcPr>
            <w:tcW w:w="2494" w:type="dxa"/>
            <w:vAlign w:val="top"/>
          </w:tcPr>
          <w:p>
            <w:pPr>
              <w:spacing w:after="0"/>
            </w:pPr>
            <w:r>
              <w:rPr>
                <w:rFonts w:ascii="맑은 고딕" w:eastAsia="맑은 고딕" w:hAnsi="맑은 고딕"/>
                <w:b w:val="0"/>
                <w:sz w:val="13"/>
              </w:rPr>
              <w:t>YES24, 『학교 밖이 궁금한 사람들에게』</w:t>
            </w:r>
          </w:p>
        </w:tc>
        <w:tc>
          <w:tcPr>
            <w:tcW w:w="3061" w:type="dxa"/>
            <w:vAlign w:val="top"/>
          </w:tcPr>
          <w:p>
            <w:pPr>
              <w:spacing w:after="0"/>
            </w:pPr>
            <w:r>
              <w:rPr>
                <w:rFonts w:ascii="맑은 고딕" w:eastAsia="맑은 고딕" w:hAnsi="맑은 고딕"/>
                <w:b w:val="0"/>
                <w:sz w:val="13"/>
              </w:rPr>
              <w:t>2025년 출간. 학교 밖 청소년·대안학교 교사의 공동 저술 및 실용 정보 비교</w:t>
            </w:r>
          </w:p>
        </w:tc>
        <w:tc>
          <w:tcPr>
            <w:tcW w:w="2778" w:type="dxa"/>
            <w:vAlign w:val="top"/>
          </w:tcPr>
          <w:p>
            <w:pPr>
              <w:spacing w:after="0"/>
            </w:pPr>
            <w:r>
              <w:rPr>
                <w:rFonts w:ascii="맑은 고딕" w:eastAsia="맑은 고딕" w:hAnsi="맑은 고딕"/>
                <w:b w:val="0"/>
                <w:sz w:val="13"/>
              </w:rPr>
              <w:t>https://www.yes24.com/product/goods/167649566</w:t>
            </w:r>
          </w:p>
        </w:tc>
      </w:tr>
      <w:tr>
        <w:tc>
          <w:tcPr>
            <w:tcW w:w="1191" w:type="dxa"/>
            <w:vAlign w:val="top"/>
          </w:tcPr>
          <w:p>
            <w:pPr>
              <w:spacing w:after="0"/>
            </w:pPr>
            <w:r>
              <w:rPr>
                <w:rFonts w:ascii="맑은 고딕" w:eastAsia="맑은 고딕" w:hAnsi="맑은 고딕"/>
                <w:b w:val="0"/>
                <w:sz w:val="13"/>
              </w:rPr>
              <w:t>경쟁도서</w:t>
            </w:r>
          </w:p>
        </w:tc>
        <w:tc>
          <w:tcPr>
            <w:tcW w:w="2494" w:type="dxa"/>
            <w:vAlign w:val="top"/>
          </w:tcPr>
          <w:p>
            <w:pPr>
              <w:spacing w:after="0"/>
            </w:pPr>
            <w:r>
              <w:rPr>
                <w:rFonts w:ascii="맑은 고딕" w:eastAsia="맑은 고딕" w:hAnsi="맑은 고딕"/>
                <w:b w:val="0"/>
                <w:sz w:val="13"/>
              </w:rPr>
              <w:t>YES24, 『자퇴 상담: 학교를 떠나는 아이들』</w:t>
            </w:r>
          </w:p>
        </w:tc>
        <w:tc>
          <w:tcPr>
            <w:tcW w:w="3061" w:type="dxa"/>
            <w:vAlign w:val="top"/>
          </w:tcPr>
          <w:p>
            <w:pPr>
              <w:spacing w:after="0"/>
            </w:pPr>
            <w:r>
              <w:rPr>
                <w:rFonts w:ascii="맑은 고딕" w:eastAsia="맑은 고딕" w:hAnsi="맑은 고딕"/>
                <w:b w:val="0"/>
                <w:sz w:val="13"/>
              </w:rPr>
              <w:t>자퇴 상담·유형화·학부모/교사용 가이드 비교</w:t>
            </w:r>
          </w:p>
        </w:tc>
        <w:tc>
          <w:tcPr>
            <w:tcW w:w="2778" w:type="dxa"/>
            <w:vAlign w:val="top"/>
          </w:tcPr>
          <w:p>
            <w:pPr>
              <w:spacing w:after="0"/>
            </w:pPr>
            <w:r>
              <w:rPr>
                <w:rFonts w:ascii="맑은 고딕" w:eastAsia="맑은 고딕" w:hAnsi="맑은 고딕"/>
                <w:b w:val="0"/>
                <w:sz w:val="13"/>
              </w:rPr>
              <w:t>https://www.yes24.com/product/goods/4280902</w:t>
            </w:r>
          </w:p>
        </w:tc>
      </w:tr>
      <w:tr>
        <w:tc>
          <w:tcPr>
            <w:tcW w:w="1191" w:type="dxa"/>
            <w:vAlign w:val="top"/>
          </w:tcPr>
          <w:p>
            <w:pPr>
              <w:spacing w:after="0"/>
            </w:pPr>
            <w:r>
              <w:rPr>
                <w:rFonts w:ascii="맑은 고딕" w:eastAsia="맑은 고딕" w:hAnsi="맑은 고딕"/>
                <w:b w:val="0"/>
                <w:sz w:val="13"/>
              </w:rPr>
              <w:t>경쟁도서</w:t>
            </w:r>
          </w:p>
        </w:tc>
        <w:tc>
          <w:tcPr>
            <w:tcW w:w="2494" w:type="dxa"/>
            <w:vAlign w:val="top"/>
          </w:tcPr>
          <w:p>
            <w:pPr>
              <w:spacing w:after="0"/>
            </w:pPr>
            <w:r>
              <w:rPr>
                <w:rFonts w:ascii="맑은 고딕" w:eastAsia="맑은 고딕" w:hAnsi="맑은 고딕"/>
                <w:b w:val="0"/>
                <w:sz w:val="13"/>
              </w:rPr>
              <w:t>알라딘, 『자퇴할까 학교에 남을까』</w:t>
            </w:r>
          </w:p>
        </w:tc>
        <w:tc>
          <w:tcPr>
            <w:tcW w:w="3061" w:type="dxa"/>
            <w:vAlign w:val="top"/>
          </w:tcPr>
          <w:p>
            <w:pPr>
              <w:spacing w:after="0"/>
            </w:pPr>
            <w:r>
              <w:rPr>
                <w:rFonts w:ascii="맑은 고딕" w:eastAsia="맑은 고딕" w:hAnsi="맑은 고딕"/>
                <w:b w:val="0"/>
                <w:sz w:val="13"/>
              </w:rPr>
              <w:t>자퇴를 고민하는 학생·교사·학부모 가이드북 비교</w:t>
            </w:r>
          </w:p>
        </w:tc>
        <w:tc>
          <w:tcPr>
            <w:tcW w:w="2778" w:type="dxa"/>
            <w:vAlign w:val="top"/>
          </w:tcPr>
          <w:p>
            <w:pPr>
              <w:spacing w:after="0"/>
            </w:pPr>
            <w:r>
              <w:rPr>
                <w:rFonts w:ascii="맑은 고딕" w:eastAsia="맑은 고딕" w:hAnsi="맑은 고딕"/>
                <w:b w:val="0"/>
                <w:sz w:val="13"/>
              </w:rPr>
              <w:t>https://www.aladin.co.kr/shop/wproduct.aspx?ItemId=58945033</w:t>
            </w:r>
          </w:p>
        </w:tc>
      </w:tr>
      <w:tr>
        <w:tc>
          <w:tcPr>
            <w:tcW w:w="1191" w:type="dxa"/>
            <w:vAlign w:val="top"/>
          </w:tcPr>
          <w:p>
            <w:pPr>
              <w:spacing w:after="0"/>
            </w:pPr>
            <w:r>
              <w:rPr>
                <w:rFonts w:ascii="맑은 고딕" w:eastAsia="맑은 고딕" w:hAnsi="맑은 고딕"/>
                <w:b w:val="0"/>
                <w:sz w:val="13"/>
              </w:rPr>
              <w:t>카테고리</w:t>
            </w:r>
          </w:p>
        </w:tc>
        <w:tc>
          <w:tcPr>
            <w:tcW w:w="2494" w:type="dxa"/>
            <w:vAlign w:val="top"/>
          </w:tcPr>
          <w:p>
            <w:pPr>
              <w:spacing w:after="0"/>
            </w:pPr>
            <w:r>
              <w:rPr>
                <w:rFonts w:ascii="맑은 고딕" w:eastAsia="맑은 고딕" w:hAnsi="맑은 고딕"/>
                <w:b w:val="0"/>
                <w:sz w:val="13"/>
              </w:rPr>
              <w:t>알라딘 좋은부모 카테고리</w:t>
            </w:r>
          </w:p>
        </w:tc>
        <w:tc>
          <w:tcPr>
            <w:tcW w:w="3061" w:type="dxa"/>
            <w:vAlign w:val="top"/>
          </w:tcPr>
          <w:p>
            <w:pPr>
              <w:spacing w:after="0"/>
            </w:pPr>
            <w:r>
              <w:rPr>
                <w:rFonts w:ascii="맑은 고딕" w:eastAsia="맑은 고딕" w:hAnsi="맑은 고딕"/>
                <w:b w:val="0"/>
                <w:sz w:val="13"/>
              </w:rPr>
              <w:t>부모 불안·사춘기·아이 이해 관련 도서 노출 확인</w:t>
            </w:r>
          </w:p>
        </w:tc>
        <w:tc>
          <w:tcPr>
            <w:tcW w:w="2778" w:type="dxa"/>
            <w:vAlign w:val="top"/>
          </w:tcPr>
          <w:p>
            <w:pPr>
              <w:spacing w:after="0"/>
            </w:pPr>
            <w:r>
              <w:rPr>
                <w:rFonts w:ascii="맑은 고딕" w:eastAsia="맑은 고딕" w:hAnsi="맑은 고딕"/>
                <w:b w:val="0"/>
                <w:sz w:val="13"/>
              </w:rPr>
              <w:t>https://www.aladin.co.kr/shop/wbrowse.aspx?CID=2030</w:t>
            </w:r>
          </w:p>
        </w:tc>
      </w:tr>
      <w:tr>
        <w:tc>
          <w:tcPr>
            <w:tcW w:w="1191" w:type="dxa"/>
            <w:vAlign w:val="top"/>
          </w:tcPr>
          <w:p>
            <w:pPr>
              <w:spacing w:after="0"/>
            </w:pPr>
            <w:r>
              <w:rPr>
                <w:rFonts w:ascii="맑은 고딕" w:eastAsia="맑은 고딕" w:hAnsi="맑은 고딕"/>
                <w:b w:val="0"/>
                <w:sz w:val="13"/>
              </w:rPr>
              <w:t>카테고리</w:t>
            </w:r>
          </w:p>
        </w:tc>
        <w:tc>
          <w:tcPr>
            <w:tcW w:w="2494" w:type="dxa"/>
            <w:vAlign w:val="top"/>
          </w:tcPr>
          <w:p>
            <w:pPr>
              <w:spacing w:after="0"/>
            </w:pPr>
            <w:r>
              <w:rPr>
                <w:rFonts w:ascii="맑은 고딕" w:eastAsia="맑은 고딕" w:hAnsi="맑은 고딕"/>
                <w:b w:val="0"/>
                <w:sz w:val="13"/>
              </w:rPr>
              <w:t>알라딘 육아에세이 카테고리</w:t>
            </w:r>
          </w:p>
        </w:tc>
        <w:tc>
          <w:tcPr>
            <w:tcW w:w="3061" w:type="dxa"/>
            <w:vAlign w:val="top"/>
          </w:tcPr>
          <w:p>
            <w:pPr>
              <w:spacing w:after="0"/>
            </w:pPr>
            <w:r>
              <w:rPr>
                <w:rFonts w:ascii="맑은 고딕" w:eastAsia="맑은 고딕" w:hAnsi="맑은 고딕"/>
                <w:b w:val="0"/>
                <w:sz w:val="13"/>
              </w:rPr>
              <w:t>부모 성장 에세이 시장 포지션 확인</w:t>
            </w:r>
          </w:p>
        </w:tc>
        <w:tc>
          <w:tcPr>
            <w:tcW w:w="2778" w:type="dxa"/>
            <w:vAlign w:val="top"/>
          </w:tcPr>
          <w:p>
            <w:pPr>
              <w:spacing w:after="0"/>
            </w:pPr>
            <w:r>
              <w:rPr>
                <w:rFonts w:ascii="맑은 고딕" w:eastAsia="맑은 고딕" w:hAnsi="맑은 고딕"/>
                <w:b w:val="0"/>
                <w:sz w:val="13"/>
              </w:rPr>
              <w:t>https://www.aladin.co.kr/shop/wbrowse.aspx?CID=58094</w:t>
            </w:r>
          </w:p>
        </w:tc>
      </w:tr>
    </w:tbl>
    <w:p/>
    <w:p>
      <w:pPr>
        <w:spacing w:after="80" w:line="276" w:lineRule="auto"/>
      </w:pPr>
      <w:r>
        <w:rPr>
          <w:rFonts w:ascii="맑은 고딕" w:eastAsia="맑은 고딕" w:hAnsi="맑은 고딕"/>
          <w:sz w:val="20"/>
        </w:rPr>
        <w:t>작성일: 2026-06-10</w:t>
      </w:r>
    </w:p>
    <w:sectPr>
      <w:pgSz w:w="12240" w:h="15840"/>
      <w:pgMar w:top="907" w:right="935" w:bottom="907" w:left="935" w:header="720" w:footer="720" w:gutter="0"/>
      <w:cols w:space="720"/>
      <w:docGrid w:linePitch="360"/>
      <w:footerReference w:type="default" r:id="rI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7FFFFFFF" w:usb1="29D77CFB" w:usb2="00000012" w:usb3="00000001" w:csb0="00080001" w:csb1="00000001"/>
  </w:font>
  <w:font w:name="Courier">
    <w:charset w:val="00"/>
    <w:notTrueType w:val="false"/>
  </w:font>
  <w:font w:name="Symbol">
    <w:panose1 w:val="05050102010706020507"/>
    <w:family w:val="Symbol"/>
    <w:charset w:val="00"/>
    <w:notTrueType w:val="false"/>
    <w:sig w:usb0="00000001" w:usb1="00000001" w:usb2="00000001" w:usb3="00000001" w:csb0="7FFFFFFF" w:csb1="000000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jc w:val="center"/>
    </w:pPr>
    <w:r>
      <w:rPr>
        <w:rFonts w:ascii="맑은 고딕" w:eastAsia="맑은 고딕" w:hAnsi="맑은 고딕"/>
        <w:color w:val="6B7280"/>
        <w:sz w:val="16"/>
      </w:rPr>
      <w:t>『아이의 꿈, 엄마의 바람』 출판기획서 · 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ffffff89"/>
    <w:multiLevelType w:val="singleLevel"/>
    <w:tmpl w:val="29761a62"/>
    <w:lvl w:ilvl="0">
      <w:start w:val="1"/>
      <w:numFmt w:val="bullet"/>
      <w:lvlText w:val=""/>
      <w:lvlJc w:val="left"/>
      <w:pStyle w:val="ListBullet"/>
      <w:pPr>
        <w:ind w:left="360" w:hanging="360"/>
        <w:tabs>
          <w:tab w:val="num" w:pos="360"/>
        </w:tabs>
      </w:pPr>
      <w:rPr>
        <w:rFonts w:ascii="Symbol" w:hAnsi="Symbol" w:hint="default"/>
      </w:rPr>
    </w:lvl>
  </w:abstractNum>
  <w:abstractNum w:abstractNumId="1">
    <w:nsid w:val="ffffff83"/>
    <w:multiLevelType w:val="singleLevel"/>
    <w:tmpl w:val="3d1effd4"/>
    <w:lvl w:ilvl="0">
      <w:start w:val="1"/>
      <w:numFmt w:val="bullet"/>
      <w:lvlText w:val=""/>
      <w:lvlJc w:val="left"/>
      <w:pStyle w:val="ListBullet2"/>
      <w:pPr>
        <w:ind w:left="720" w:hanging="360"/>
        <w:tabs>
          <w:tab w:val="num" w:pos="720"/>
        </w:tabs>
      </w:pPr>
      <w:rPr>
        <w:rFonts w:ascii="Symbol" w:hAnsi="Symbol" w:hint="default"/>
      </w:rPr>
    </w:lvl>
  </w:abstractNum>
  <w:abstractNum w:abstractNumId="2">
    <w:nsid w:val="ffffff82"/>
    <w:multiLevelType w:val="singleLevel"/>
    <w:tmpl w:val="f3eafdec"/>
    <w:lvl w:ilvl="0">
      <w:start w:val="1"/>
      <w:numFmt w:val="bullet"/>
      <w:lvlText w:val=""/>
      <w:lvlJc w:val="left"/>
      <w:pStyle w:val="ListBullet3"/>
      <w:pPr>
        <w:ind w:left="1080" w:hanging="360"/>
        <w:tabs>
          <w:tab w:val="num" w:pos="1080"/>
        </w:tabs>
      </w:pPr>
      <w:rPr>
        <w:rFonts w:ascii="Symbol" w:hAnsi="Symbol" w:hint="default"/>
      </w:rPr>
    </w:lvl>
  </w:abstractNum>
  <w:abstractNum w:abstractNumId="3">
    <w:nsid w:val="ffffff88"/>
    <w:multiLevelType w:val="singleLevel"/>
    <w:tmpl w:val="d0a62b40"/>
    <w:lvl w:ilvl="0">
      <w:start w:val="1"/>
      <w:lvlText w:val="%1."/>
      <w:lvlJc w:val="left"/>
      <w:pStyle w:val="ListNumber"/>
      <w:pPr>
        <w:ind w:left="360" w:hanging="360"/>
        <w:tabs>
          <w:tab w:val="num" w:pos="360"/>
        </w:tabs>
      </w:pPr>
    </w:lvl>
  </w:abstractNum>
  <w:abstractNum w:abstractNumId="4">
    <w:nsid w:val="ffffff7f"/>
    <w:multiLevelType w:val="singleLevel"/>
    <w:tmpl w:val="38441652"/>
    <w:lvl w:ilvl="0">
      <w:start w:val="1"/>
      <w:lvlText w:val="%1."/>
      <w:lvlJc w:val="left"/>
      <w:pStyle w:val="ListNumber2"/>
      <w:pPr>
        <w:ind w:left="720" w:hanging="360"/>
        <w:tabs>
          <w:tab w:val="num" w:pos="720"/>
        </w:tabs>
      </w:pPr>
    </w:lvl>
  </w:abstractNum>
  <w:abstractNum w:abstractNumId="5">
    <w:nsid w:val="ffffff7e"/>
    <w:multiLevelType w:val="singleLevel"/>
    <w:tmpl w:val="fb12693a"/>
    <w:lvl w:ilvl="0">
      <w:start w:val="1"/>
      <w:lvlText w:val="%1."/>
      <w:lvlJc w:val="left"/>
      <w:pStyle w:val="ListNumber3"/>
      <w:pPr>
        <w:ind w:left="1080" w:hanging="360"/>
        <w:tabs>
          <w:tab w:val="num" w:pos="1080"/>
        </w:tabs>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val="bestFit"/>
  <w:removePersonalInformation/>
  <w:bordersDontSurroundHeader/>
  <w:bordersDontSurroundFooter/>
  <w:hideGrammaticalErrors/>
  <w:proofState w:spelling="clean" w:grammar="clean"/>
  <w:defaultTabStop w:val="720"/>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ja-JP"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EastAsia" w:hAnsiTheme="minorHAnsi" w:cstheme="minorBidi"/>
        <w:sz w:val="22"/>
        <w:szCs w:val="22"/>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87"/>
    <w:lsdException w:name="toc 2" w:uiPriority="87"/>
    <w:lsdException w:name="toc 3" w:uiPriority="87"/>
    <w:lsdException w:name="toc 4" w:uiPriority="87"/>
    <w:lsdException w:name="toc 5" w:uiPriority="87"/>
    <w:lsdException w:name="toc 6" w:uiPriority="87"/>
    <w:lsdException w:name="toc 7" w:uiPriority="87"/>
    <w:lsdException w:name="toc 8" w:uiPriority="87"/>
    <w:lsdException w:name="toc 9" w:uiPriority="87"/>
    <w:lsdException w:name="caption" w:uiPriority="83" w:qFormat="1"/>
    <w:lsdException w:name="Title" w:semiHidden="0" w:uiPriority="22" w:unhideWhenUsed="0" w:qFormat="1"/>
    <w:lsdException w:name="Default Paragraph Font" w:uiPriority="1"/>
    <w:lsdException w:name="Subtitle" w:semiHidden="0" w:uiPriority="23" w:unhideWhenUsed="0" w:qFormat="1"/>
    <w:lsdException w:name="Strong" w:semiHidden="0" w:uiPriority="52" w:unhideWhenUsed="0" w:qFormat="1"/>
    <w:lsdException w:name="Emphasis" w:semiHidden="0" w:uiPriority="50" w:unhideWhenUsed="0" w:qFormat="1"/>
    <w:lsdException w:name="Table Grid" w:semiHidden="0" w:uiPriority="137" w:unhideWhenUsed="0"/>
    <w:lsdException w:name="Placeholder Text" w:unhideWhenUsed="0"/>
    <w:lsdException w:name="No Spacing" w:semiHidden="0" w:uiPriority="1" w:unhideWhenUsed="0" w:qFormat="1"/>
    <w:lsdException w:name="Light Shading" w:semiHidden="0" w:uiPriority="150" w:unhideWhenUsed="0"/>
    <w:lsdException w:name="Light List" w:semiHidden="0" w:uiPriority="151" w:unhideWhenUsed="0"/>
    <w:lsdException w:name="Light Grid" w:semiHidden="0" w:uiPriority="152" w:unhideWhenUsed="0"/>
    <w:lsdException w:name="Medium Shading 1" w:semiHidden="0" w:uiPriority="153" w:unhideWhenUsed="0"/>
    <w:lsdException w:name="Medium Shading 2" w:semiHidden="0" w:uiPriority="256" w:unhideWhenUsed="0"/>
    <w:lsdException w:name="Medium List 1" w:semiHidden="0" w:uiPriority="257" w:unhideWhenUsed="0"/>
    <w:lsdException w:name="Medium List 2" w:semiHidden="0" w:uiPriority="258" w:unhideWhenUsed="0"/>
    <w:lsdException w:name="Medium Grid 1" w:semiHidden="0" w:uiPriority="259" w:unhideWhenUsed="0"/>
    <w:lsdException w:name="Medium Grid 2" w:semiHidden="0" w:uiPriority="260" w:unhideWhenUsed="0"/>
    <w:lsdException w:name="Medium Grid 3" w:semiHidden="0" w:uiPriority="261" w:unhideWhenUsed="0"/>
    <w:lsdException w:name="Dark List" w:semiHidden="0" w:uiPriority="274" w:unhideWhenUsed="0"/>
    <w:lsdException w:name="Colorful Shading" w:semiHidden="0" w:uiPriority="275" w:unhideWhenUsed="0"/>
    <w:lsdException w:name="Colorful List" w:semiHidden="0" w:uiPriority="276" w:unhideWhenUsed="0"/>
    <w:lsdException w:name="Colorful Grid" w:semiHidden="0" w:uiPriority="277" w:unhideWhenUsed="0"/>
    <w:lsdException w:name="Light Shading Accent 1" w:semiHidden="0" w:uiPriority="150" w:unhideWhenUsed="0"/>
    <w:lsdException w:name="Light List Accent 1" w:semiHidden="0" w:uiPriority="151" w:unhideWhenUsed="0"/>
    <w:lsdException w:name="Light Grid Accent 1" w:semiHidden="0" w:uiPriority="152" w:unhideWhenUsed="0"/>
    <w:lsdException w:name="Medium Shading 1 Accent 1" w:semiHidden="0" w:uiPriority="153" w:unhideWhenUsed="0"/>
    <w:lsdException w:name="Medium Shading 2 Accent 1" w:semiHidden="0" w:uiPriority="256" w:unhideWhenUsed="0"/>
    <w:lsdException w:name="Medium List 1 Accent 1" w:semiHidden="0" w:uiPriority="257" w:unhideWhenUsed="0"/>
    <w:lsdException w:name="Revision" w:unhideWhenUsed="0"/>
    <w:lsdException w:name="List Paragraph" w:semiHidden="0" w:uiPriority="82" w:unhideWhenUsed="0" w:qFormat="1"/>
    <w:lsdException w:name="Quote" w:semiHidden="0" w:uiPriority="65" w:unhideWhenUsed="0" w:qFormat="1"/>
    <w:lsdException w:name="Intense Quote" w:semiHidden="0" w:uiPriority="72" w:unhideWhenUsed="0" w:qFormat="1"/>
    <w:lsdException w:name="Medium List 2 Accent 1" w:semiHidden="0" w:uiPriority="258" w:unhideWhenUsed="0"/>
    <w:lsdException w:name="Medium Grid 1 Accent 1" w:semiHidden="0" w:uiPriority="259" w:unhideWhenUsed="0"/>
    <w:lsdException w:name="Medium Grid 2 Accent 1" w:semiHidden="0" w:uiPriority="260" w:unhideWhenUsed="0"/>
    <w:lsdException w:name="Medium Grid 3 Accent 1" w:semiHidden="0" w:uiPriority="261" w:unhideWhenUsed="0"/>
    <w:lsdException w:name="Dark List Accent 1" w:semiHidden="0" w:uiPriority="274" w:unhideWhenUsed="0"/>
    <w:lsdException w:name="Colorful Shading Accent 1" w:semiHidden="0" w:uiPriority="275" w:unhideWhenUsed="0"/>
    <w:lsdException w:name="Colorful List Accent 1" w:semiHidden="0" w:uiPriority="276" w:unhideWhenUsed="0"/>
    <w:lsdException w:name="Colorful Grid Accent 1" w:semiHidden="0" w:uiPriority="277" w:unhideWhenUsed="0"/>
    <w:lsdException w:name="Light Shading Accent 2" w:semiHidden="0" w:uiPriority="150" w:unhideWhenUsed="0"/>
    <w:lsdException w:name="Light List Accent 2" w:semiHidden="0" w:uiPriority="151" w:unhideWhenUsed="0"/>
    <w:lsdException w:name="Light Grid Accent 2" w:semiHidden="0" w:uiPriority="152" w:unhideWhenUsed="0"/>
    <w:lsdException w:name="Medium Shading 1 Accent 2" w:semiHidden="0" w:uiPriority="153" w:unhideWhenUsed="0"/>
    <w:lsdException w:name="Medium Shading 2 Accent 2" w:semiHidden="0" w:uiPriority="256" w:unhideWhenUsed="0"/>
    <w:lsdException w:name="Medium List 1 Accent 2" w:semiHidden="0" w:uiPriority="257" w:unhideWhenUsed="0"/>
    <w:lsdException w:name="Medium List 2 Accent 2" w:semiHidden="0" w:uiPriority="258" w:unhideWhenUsed="0"/>
    <w:lsdException w:name="Medium Grid 1 Accent 2" w:semiHidden="0" w:uiPriority="259" w:unhideWhenUsed="0"/>
    <w:lsdException w:name="Medium Grid 2 Accent 2" w:semiHidden="0" w:uiPriority="260" w:unhideWhenUsed="0"/>
    <w:lsdException w:name="Medium Grid 3 Accent 2" w:semiHidden="0" w:uiPriority="261" w:unhideWhenUsed="0"/>
    <w:lsdException w:name="Dark List Accent 2" w:semiHidden="0" w:uiPriority="274" w:unhideWhenUsed="0"/>
    <w:lsdException w:name="Colorful Shading Accent 2" w:semiHidden="0" w:uiPriority="275" w:unhideWhenUsed="0"/>
    <w:lsdException w:name="Colorful List Accent 2" w:semiHidden="0" w:uiPriority="276" w:unhideWhenUsed="0"/>
    <w:lsdException w:name="Colorful Grid Accent 2" w:semiHidden="0" w:uiPriority="277" w:unhideWhenUsed="0"/>
    <w:lsdException w:name="Light Shading Accent 3" w:semiHidden="0" w:uiPriority="150" w:unhideWhenUsed="0"/>
    <w:lsdException w:name="Light List Accent 3" w:semiHidden="0" w:uiPriority="151" w:unhideWhenUsed="0"/>
    <w:lsdException w:name="Light Grid Accent 3" w:semiHidden="0" w:uiPriority="152" w:unhideWhenUsed="0"/>
    <w:lsdException w:name="Medium Shading 1 Accent 3" w:semiHidden="0" w:uiPriority="153" w:unhideWhenUsed="0"/>
    <w:lsdException w:name="Medium Shading 2 Accent 3" w:semiHidden="0" w:uiPriority="256" w:unhideWhenUsed="0"/>
    <w:lsdException w:name="Medium List 1 Accent 3" w:semiHidden="0" w:uiPriority="257" w:unhideWhenUsed="0"/>
    <w:lsdException w:name="Medium List 2 Accent 3" w:semiHidden="0" w:uiPriority="258" w:unhideWhenUsed="0"/>
    <w:lsdException w:name="Medium Grid 1 Accent 3" w:semiHidden="0" w:uiPriority="259" w:unhideWhenUsed="0"/>
    <w:lsdException w:name="Medium Grid 2 Accent 3" w:semiHidden="0" w:uiPriority="260" w:unhideWhenUsed="0"/>
    <w:lsdException w:name="Medium Grid 3 Accent 3" w:semiHidden="0" w:uiPriority="261" w:unhideWhenUsed="0"/>
    <w:lsdException w:name="Dark List Accent 3" w:semiHidden="0" w:uiPriority="274" w:unhideWhenUsed="0"/>
    <w:lsdException w:name="Colorful Shading Accent 3" w:semiHidden="0" w:uiPriority="275" w:unhideWhenUsed="0"/>
    <w:lsdException w:name="Colorful List Accent 3" w:semiHidden="0" w:uiPriority="276" w:unhideWhenUsed="0"/>
    <w:lsdException w:name="Colorful Grid Accent 3" w:semiHidden="0" w:uiPriority="277" w:unhideWhenUsed="0"/>
    <w:lsdException w:name="Light Shading Accent 4" w:semiHidden="0" w:uiPriority="150" w:unhideWhenUsed="0"/>
    <w:lsdException w:name="Light List Accent 4" w:semiHidden="0" w:uiPriority="151" w:unhideWhenUsed="0"/>
    <w:lsdException w:name="Light Grid Accent 4" w:semiHidden="0" w:uiPriority="152" w:unhideWhenUsed="0"/>
    <w:lsdException w:name="Medium Shading 1 Accent 4" w:semiHidden="0" w:uiPriority="153" w:unhideWhenUsed="0"/>
    <w:lsdException w:name="Medium Shading 2 Accent 4" w:semiHidden="0" w:uiPriority="256" w:unhideWhenUsed="0"/>
    <w:lsdException w:name="Medium List 1 Accent 4" w:semiHidden="0" w:uiPriority="257" w:unhideWhenUsed="0"/>
    <w:lsdException w:name="Medium List 2 Accent 4" w:semiHidden="0" w:uiPriority="258" w:unhideWhenUsed="0"/>
    <w:lsdException w:name="Medium Grid 1 Accent 4" w:semiHidden="0" w:uiPriority="259" w:unhideWhenUsed="0"/>
    <w:lsdException w:name="Medium Grid 2 Accent 4" w:semiHidden="0" w:uiPriority="260" w:unhideWhenUsed="0"/>
    <w:lsdException w:name="Medium Grid 3 Accent 4" w:semiHidden="0" w:uiPriority="261" w:unhideWhenUsed="0"/>
    <w:lsdException w:name="Dark List Accent 4" w:semiHidden="0" w:uiPriority="274" w:unhideWhenUsed="0"/>
    <w:lsdException w:name="Colorful Shading Accent 4" w:semiHidden="0" w:uiPriority="275" w:unhideWhenUsed="0"/>
    <w:lsdException w:name="Colorful List Accent 4" w:semiHidden="0" w:uiPriority="276" w:unhideWhenUsed="0"/>
    <w:lsdException w:name="Colorful Grid Accent 4" w:semiHidden="0" w:uiPriority="277" w:unhideWhenUsed="0"/>
    <w:lsdException w:name="Light Shading Accent 5" w:semiHidden="0" w:uiPriority="150" w:unhideWhenUsed="0"/>
    <w:lsdException w:name="Light List Accent 5" w:semiHidden="0" w:uiPriority="151" w:unhideWhenUsed="0"/>
    <w:lsdException w:name="Light Grid Accent 5" w:semiHidden="0" w:uiPriority="152" w:unhideWhenUsed="0"/>
    <w:lsdException w:name="Medium Shading 1 Accent 5" w:semiHidden="0" w:uiPriority="153" w:unhideWhenUsed="0"/>
    <w:lsdException w:name="Medium Shading 2 Accent 5" w:semiHidden="0" w:uiPriority="256" w:unhideWhenUsed="0"/>
    <w:lsdException w:name="Medium List 1 Accent 5" w:semiHidden="0" w:uiPriority="257" w:unhideWhenUsed="0"/>
    <w:lsdException w:name="Medium List 2 Accent 5" w:semiHidden="0" w:uiPriority="258" w:unhideWhenUsed="0"/>
    <w:lsdException w:name="Medium Grid 1 Accent 5" w:semiHidden="0" w:uiPriority="259" w:unhideWhenUsed="0"/>
    <w:lsdException w:name="Medium Grid 2 Accent 5" w:semiHidden="0" w:uiPriority="260" w:unhideWhenUsed="0"/>
    <w:lsdException w:name="Medium Grid 3 Accent 5" w:semiHidden="0" w:uiPriority="261" w:unhideWhenUsed="0"/>
    <w:lsdException w:name="Dark List Accent 5" w:semiHidden="0" w:uiPriority="274" w:unhideWhenUsed="0"/>
    <w:lsdException w:name="Colorful Shading Accent 5" w:semiHidden="0" w:uiPriority="275" w:unhideWhenUsed="0"/>
    <w:lsdException w:name="Colorful List Accent 5" w:semiHidden="0" w:uiPriority="276" w:unhideWhenUsed="0"/>
    <w:lsdException w:name="Colorful Grid Accent 5" w:semiHidden="0" w:uiPriority="277" w:unhideWhenUsed="0"/>
    <w:lsdException w:name="Light Shading Accent 6" w:semiHidden="0" w:uiPriority="150" w:unhideWhenUsed="0"/>
    <w:lsdException w:name="Light List Accent 6" w:semiHidden="0" w:uiPriority="151" w:unhideWhenUsed="0"/>
    <w:lsdException w:name="Light Grid Accent 6" w:semiHidden="0" w:uiPriority="152" w:unhideWhenUsed="0"/>
    <w:lsdException w:name="Medium Shading 1 Accent 6" w:semiHidden="0" w:uiPriority="153" w:unhideWhenUsed="0"/>
    <w:lsdException w:name="Medium Shading 2 Accent 6" w:semiHidden="0" w:uiPriority="256" w:unhideWhenUsed="0"/>
    <w:lsdException w:name="Medium List 1 Accent 6" w:semiHidden="0" w:uiPriority="257" w:unhideWhenUsed="0"/>
    <w:lsdException w:name="Medium List 2 Accent 6" w:semiHidden="0" w:uiPriority="258" w:unhideWhenUsed="0"/>
    <w:lsdException w:name="Medium Grid 1 Accent 6" w:semiHidden="0" w:uiPriority="259" w:unhideWhenUsed="0"/>
    <w:lsdException w:name="Medium Grid 2 Accent 6" w:semiHidden="0" w:uiPriority="260" w:unhideWhenUsed="0"/>
    <w:lsdException w:name="Medium Grid 3 Accent 6" w:semiHidden="0" w:uiPriority="261" w:unhideWhenUsed="0"/>
    <w:lsdException w:name="Dark List Accent 6" w:semiHidden="0" w:uiPriority="274" w:unhideWhenUsed="0"/>
    <w:lsdException w:name="Colorful Shading Accent 6" w:semiHidden="0" w:uiPriority="275" w:unhideWhenUsed="0"/>
    <w:lsdException w:name="Colorful List Accent 6" w:semiHidden="0" w:uiPriority="276" w:unhideWhenUsed="0"/>
    <w:lsdException w:name="Colorful Grid Accent 6" w:semiHidden="0" w:uiPriority="277" w:unhideWhenUsed="0"/>
    <w:lsdException w:name="Subtle Emphasis" w:semiHidden="0" w:uiPriority="37" w:unhideWhenUsed="0" w:qFormat="1"/>
    <w:lsdException w:name="Intense Emphasis" w:semiHidden="0" w:uiPriority="51" w:unhideWhenUsed="0" w:qFormat="1"/>
    <w:lsdException w:name="Subtle Reference" w:semiHidden="0" w:uiPriority="73" w:unhideWhenUsed="0" w:qFormat="1"/>
    <w:lsdException w:name="Intense Reference" w:semiHidden="0" w:uiPriority="80" w:unhideWhenUsed="0" w:qFormat="1"/>
    <w:lsdException w:name="Book Title" w:semiHidden="0" w:uiPriority="81" w:unhideWhenUsed="0" w:qFormat="1"/>
    <w:lsdException w:name="Bibliography" w:uiPriority="85"/>
    <w:lsdException w:name="TOC Heading" w:uiPriority="87" w:qFormat="1"/>
  </w:latentStyles>
  <w:style w:type="paragraph" w:default="1" w:styleId="Normal">
    <w:name w:val="Normal"/>
    <w:qFormat/>
    <w:rPr>
      <w:rFonts w:ascii="맑은 고딕" w:eastAsia="맑은 고딕" w:hAnsi="맑은 고딕"/>
      <w:sz w:val="20"/>
    </w:rPr>
  </w:style>
  <w:style w:type="paragraph" w:customStyle="1" w:styleId="Header">
    <w:name w:val="header"/>
    <w:uiPriority w:val="99"/>
    <w:basedOn w:val="Normal"/>
    <w:link w:val="HeaderChar"/>
    <w:unhideWhenUsed/>
    <w:pPr>
      <w:tabs>
        <w:tab w:val="center" w:pos="4680"/>
        <w:tab w:val="right" w:pos="9360"/>
      </w:tabs>
      <w:spacing w:after="0" w:line="240" w:lineRule="auto"/>
    </w:pPr>
  </w:style>
  <w:style w:type="character" w:customStyle="1" w:styleId="HeaderChar">
    <w:name w:val="Header Char"/>
    <w:uiPriority w:val="99"/>
    <w:basedOn w:val="DefaultParagraphFont"/>
    <w:link w:val="Header"/>
  </w:style>
  <w:style w:type="paragraph" w:customStyle="1" w:styleId="Footer">
    <w:name w:val="footer"/>
    <w:uiPriority w:val="99"/>
    <w:basedOn w:val="Normal"/>
    <w:link w:val="FooterChar"/>
    <w:unhideWhenUsed/>
    <w:pPr>
      <w:tabs>
        <w:tab w:val="center" w:pos="4680"/>
        <w:tab w:val="right" w:pos="9360"/>
      </w:tabs>
      <w:spacing w:after="0" w:line="240" w:lineRule="auto"/>
    </w:pPr>
  </w:style>
  <w:style w:type="character" w:customStyle="1" w:styleId="FooterChar">
    <w:name w:val="Footer Char"/>
    <w:uiPriority w:val="99"/>
    <w:basedOn w:val="DefaultParagraphFont"/>
    <w:link w:val="Footer"/>
  </w:style>
  <w:style w:type="paragraph" w:styleId="Heading1">
    <w:name w:val="heading 1"/>
    <w:uiPriority w:val="9"/>
    <w:basedOn w:val="Normal"/>
    <w:next w:val="Normal"/>
    <w:link w:val="Heading1Char"/>
    <w:qFormat/>
    <w:pPr>
      <w:keepNext/>
      <w:keepLines/>
      <w:outlineLvl w:val="0"/>
      <w:spacing w:after="0" w:before="480"/>
    </w:pPr>
    <w:rPr>
      <w:rFonts w:asciiTheme="majorHAnsi" w:eastAsiaTheme="majorEastAsia" w:hAnsiTheme="majorHAnsi" w:cstheme="majorBidi"/>
      <w:b/>
      <w:bCs/>
      <w:color w:val="376092"/>
      <w:sz w:val="28"/>
      <w:szCs w:val="28"/>
    </w:rPr>
  </w:style>
  <w:style w:type="paragraph" w:styleId="Heading2">
    <w:name w:val="heading 2"/>
    <w:uiPriority w:val="9"/>
    <w:basedOn w:val="Normal"/>
    <w:next w:val="Normal"/>
    <w:link w:val="Heading2Char"/>
    <w:qFormat/>
    <w:unhideWhenUsed/>
    <w:pPr>
      <w:keepNext/>
      <w:keepLines/>
      <w:outlineLvl w:val="1"/>
      <w:spacing w:after="0" w:before="200"/>
    </w:pPr>
    <w:rPr>
      <w:rFonts w:asciiTheme="majorHAnsi" w:eastAsiaTheme="majorEastAsia" w:hAnsiTheme="majorHAnsi" w:cstheme="majorBidi"/>
      <w:b/>
      <w:bCs/>
      <w:color w:val="4F81BD"/>
      <w:sz w:val="26"/>
      <w:szCs w:val="26"/>
    </w:rPr>
  </w:style>
  <w:style w:type="paragraph" w:styleId="Heading3">
    <w:name w:val="heading 3"/>
    <w:uiPriority w:val="9"/>
    <w:basedOn w:val="Normal"/>
    <w:next w:val="Normal"/>
    <w:link w:val="Heading3Char"/>
    <w:qFormat/>
    <w:unhideWhenUsed/>
    <w:pPr>
      <w:keepNext/>
      <w:keepLines/>
      <w:outlineLvl w:val="2"/>
      <w:spacing w:after="0" w:before="200"/>
    </w:pPr>
    <w:rPr>
      <w:rFonts w:asciiTheme="majorHAnsi" w:eastAsiaTheme="majorEastAsia" w:hAnsiTheme="majorHAnsi" w:cstheme="majorBidi"/>
      <w:b/>
      <w:bCs/>
      <w:color w:val="4F81BD"/>
    </w:rPr>
  </w:style>
  <w:style w:type="paragraph" w:styleId="Heading4">
    <w:name w:val="heading 4"/>
    <w:uiPriority w:val="9"/>
    <w:basedOn w:val="Normal"/>
    <w:next w:val="Normal"/>
    <w:link w:val="Heading4Char"/>
    <w:qFormat/>
    <w:semiHidden/>
    <w:unhideWhenUsed/>
    <w:pPr>
      <w:keepNext/>
      <w:keepLines/>
      <w:outlineLvl w:val="3"/>
      <w:spacing w:after="0" w:before="200"/>
    </w:pPr>
    <w:rPr>
      <w:rFonts w:asciiTheme="majorHAnsi" w:eastAsiaTheme="majorEastAsia" w:hAnsiTheme="majorHAnsi" w:cstheme="majorBidi"/>
      <w:b/>
      <w:bCs/>
      <w:i/>
      <w:iCs/>
      <w:color w:val="4F81BD"/>
    </w:rPr>
  </w:style>
  <w:style w:type="paragraph" w:styleId="Heading5">
    <w:name w:val="heading 5"/>
    <w:uiPriority w:val="9"/>
    <w:basedOn w:val="Normal"/>
    <w:next w:val="Normal"/>
    <w:link w:val="Heading5Char"/>
    <w:qFormat/>
    <w:semiHidden/>
    <w:unhideWhenUsed/>
    <w:pPr>
      <w:keepNext/>
      <w:keepLines/>
      <w:outlineLvl w:val="4"/>
      <w:spacing w:after="0" w:before="200"/>
    </w:pPr>
    <w:rPr>
      <w:rFonts w:asciiTheme="majorHAnsi" w:eastAsiaTheme="majorEastAsia" w:hAnsiTheme="majorHAnsi" w:cstheme="majorBidi"/>
      <w:color w:val="244061"/>
    </w:rPr>
  </w:style>
  <w:style w:type="paragraph" w:styleId="Heading6">
    <w:name w:val="heading 6"/>
    <w:uiPriority w:val="9"/>
    <w:basedOn w:val="Normal"/>
    <w:next w:val="Normal"/>
    <w:link w:val="Heading6Char"/>
    <w:qFormat/>
    <w:semiHidden/>
    <w:unhideWhenUsed/>
    <w:pPr>
      <w:keepNext/>
      <w:keepLines/>
      <w:outlineLvl w:val="5"/>
      <w:spacing w:after="0" w:before="200"/>
    </w:pPr>
    <w:rPr>
      <w:rFonts w:asciiTheme="majorHAnsi" w:eastAsiaTheme="majorEastAsia" w:hAnsiTheme="majorHAnsi" w:cstheme="majorBidi"/>
      <w:i/>
      <w:iCs/>
      <w:color w:val="244061"/>
    </w:rPr>
  </w:style>
  <w:style w:type="paragraph" w:styleId="Heading7">
    <w:name w:val="heading 7"/>
    <w:uiPriority w:val="9"/>
    <w:basedOn w:val="Normal"/>
    <w:next w:val="Normal"/>
    <w:link w:val="Heading7Char"/>
    <w:qFormat/>
    <w:semiHidden/>
    <w:unhideWhenUsed/>
    <w:pPr>
      <w:keepNext/>
      <w:keepLines/>
      <w:outlineLvl w:val="6"/>
      <w:spacing w:after="0" w:before="200"/>
    </w:pPr>
    <w:rPr>
      <w:rFonts w:asciiTheme="majorHAnsi" w:eastAsiaTheme="majorEastAsia" w:hAnsiTheme="majorHAnsi" w:cstheme="majorBidi"/>
      <w:i/>
      <w:iCs/>
      <w:color w:val="8C8C8C"/>
    </w:rPr>
  </w:style>
  <w:style w:type="paragraph" w:styleId="Heading8">
    <w:name w:val="heading 8"/>
    <w:uiPriority w:val="9"/>
    <w:basedOn w:val="Normal"/>
    <w:next w:val="Normal"/>
    <w:link w:val="Heading8Char"/>
    <w:qFormat/>
    <w:semiHidden/>
    <w:unhideWhenUsed/>
    <w:pPr>
      <w:keepNext/>
      <w:keepLines/>
      <w:outlineLvl w:val="7"/>
      <w:spacing w:after="0" w:before="200"/>
    </w:pPr>
    <w:rPr>
      <w:rFonts w:asciiTheme="majorHAnsi" w:eastAsiaTheme="majorEastAsia" w:hAnsiTheme="majorHAnsi" w:cstheme="majorBidi"/>
      <w:color w:val="4F81BD"/>
      <w:sz w:val="20"/>
      <w:szCs w:val="20"/>
    </w:rPr>
  </w:style>
  <w:style w:type="paragraph" w:styleId="Heading9">
    <w:name w:val="heading 9"/>
    <w:uiPriority w:val="9"/>
    <w:basedOn w:val="Normal"/>
    <w:next w:val="Normal"/>
    <w:link w:val="Heading9Char"/>
    <w:qFormat/>
    <w:semiHidden/>
    <w:unhideWhenUsed/>
    <w:pPr>
      <w:keepNext/>
      <w:keepLines/>
      <w:outlineLvl w:val="8"/>
      <w:spacing w:after="0" w:before="200"/>
    </w:pPr>
    <w:rPr>
      <w:rFonts w:asciiTheme="majorHAnsi" w:eastAsiaTheme="majorEastAsia" w:hAnsiTheme="majorHAnsi" w:cstheme="majorBidi"/>
      <w:i/>
      <w:iCs/>
      <w:color w:val="8C8C8C"/>
      <w:sz w:val="20"/>
      <w:szCs w:val="20"/>
    </w:rPr>
  </w:style>
  <w:style w:type="character" w:default="1" w:styleId="DefaultParagraphFont">
    <w:name w:val="Default Paragraph Font"/>
    <w:uiPriority w:val="1"/>
    <w:semiHidden/>
    <w:unhideWhenUsed/>
  </w:style>
  <w:style w:type="table" w:customStyle="1" w:styleId="TableNormal">
    <w:name w:val="Normal Table"/>
    <w:uiPriority w:val="99"/>
    <w:semiHidden/>
    <w:unhideWhenUsed/>
    <w:tblPr>
      <w:tblInd w:w="0" w:type="dxa"/>
      <w:tblCellMar>
        <w:top w:w="0" w:type="dxa"/>
        <w:left w:w="108" w:type="dxa"/>
        <w:bottom w:w="0" w:type="dxa"/>
        <w:right w:w="108" w:type="dxa"/>
      </w:tblCellMar>
    </w:tblPr>
  </w:style>
  <w:style w:type="numbering" w:customStyle="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uiPriority w:val="9"/>
    <w:basedOn w:val="DefaultParagraphFont"/>
    <w:link w:val="Heading1"/>
    <w:rPr>
      <w:rFonts w:asciiTheme="majorHAnsi" w:eastAsiaTheme="majorEastAsia" w:hAnsiTheme="majorHAnsi" w:cstheme="majorBidi"/>
      <w:b/>
      <w:bCs/>
      <w:color w:val="376092"/>
      <w:sz w:val="28"/>
      <w:szCs w:val="28"/>
    </w:rPr>
  </w:style>
  <w:style w:type="character" w:customStyle="1" w:styleId="Heading2Char">
    <w:name w:val="Heading 2 Char"/>
    <w:uiPriority w:val="9"/>
    <w:basedOn w:val="DefaultParagraphFont"/>
    <w:link w:val="Heading2"/>
    <w:rPr>
      <w:rFonts w:asciiTheme="majorHAnsi" w:eastAsiaTheme="majorEastAsia" w:hAnsiTheme="majorHAnsi" w:cstheme="majorBidi"/>
      <w:b/>
      <w:bCs/>
      <w:color w:val="4F81BD"/>
      <w:sz w:val="26"/>
      <w:szCs w:val="26"/>
    </w:rPr>
  </w:style>
  <w:style w:type="character" w:customStyle="1" w:styleId="Heading3Char">
    <w:name w:val="Heading 3 Char"/>
    <w:uiPriority w:val="9"/>
    <w:basedOn w:val="DefaultParagraphFont"/>
    <w:link w:val="Heading3"/>
    <w:rPr>
      <w:rFonts w:asciiTheme="majorHAnsi" w:eastAsiaTheme="majorEastAsia" w:hAnsiTheme="majorHAnsi" w:cstheme="majorBidi"/>
      <w:b/>
      <w:bCs/>
      <w:color w:val="4F81BD"/>
    </w:rPr>
  </w:style>
  <w:style w:type="paragraph" w:styleId="Title">
    <w:name w:val="Title"/>
    <w:uiPriority w:val="10"/>
    <w:basedOn w:val="Normal"/>
    <w:next w:val="Normal"/>
    <w:link w:val="TitleChar"/>
    <w:qFormat/>
    <w:pPr>
      <w:contextualSpacing/>
      <w:pBdr>
        <w:bottom w:val="single" w:sz="8" w:space="4" w:color="4F81BD" w:themeColor="accent1"/>
      </w:pBdr>
      <w:spacing w:after="300" w:line="240" w:lineRule="auto"/>
    </w:pPr>
    <w:rPr>
      <w:rFonts w:asciiTheme="majorHAnsi" w:eastAsiaTheme="majorEastAsia" w:hAnsiTheme="majorHAnsi" w:cstheme="majorBidi"/>
      <w:color w:val="17375E"/>
      <w:sz w:val="52"/>
      <w:szCs w:val="52"/>
      <w:kern w:val="28"/>
      <w:spacing w:val="5"/>
    </w:rPr>
  </w:style>
  <w:style w:type="character" w:customStyle="1" w:styleId="TitleChar">
    <w:name w:val="Title Char"/>
    <w:uiPriority w:val="10"/>
    <w:basedOn w:val="DefaultParagraphFont"/>
    <w:link w:val="Title"/>
    <w:rPr>
      <w:rFonts w:asciiTheme="majorHAnsi" w:eastAsiaTheme="majorEastAsia" w:hAnsiTheme="majorHAnsi" w:cstheme="majorBidi"/>
      <w:color w:val="17375E"/>
      <w:sz w:val="52"/>
      <w:szCs w:val="52"/>
      <w:kern w:val="28"/>
      <w:spacing w:val="5"/>
    </w:rPr>
  </w:style>
  <w:style w:type="paragraph" w:styleId="Subtitle">
    <w:name w:val="Subtitle"/>
    <w:uiPriority w:val="11"/>
    <w:basedOn w:val="Normal"/>
    <w:next w:val="Normal"/>
    <w:link w:val="SubtitleChar"/>
    <w:qFormat/>
    <w:pPr>
      <w:numPr>
        <w:ilvl w:val="1"/>
      </w:numPr>
    </w:pPr>
    <w:rPr>
      <w:rFonts w:asciiTheme="majorHAnsi" w:eastAsiaTheme="majorEastAsia" w:hAnsiTheme="majorHAnsi" w:cstheme="majorBidi"/>
      <w:i/>
      <w:iCs/>
      <w:color w:val="4F81BD"/>
      <w:sz w:val="24"/>
      <w:szCs w:val="24"/>
      <w:spacing w:val="15"/>
    </w:rPr>
  </w:style>
  <w:style w:type="character" w:customStyle="1" w:styleId="SubtitleChar">
    <w:name w:val="Subtitle Char"/>
    <w:uiPriority w:val="11"/>
    <w:basedOn w:val="DefaultParagraphFont"/>
    <w:link w:val="Subtitle"/>
    <w:rPr>
      <w:rFonts w:asciiTheme="majorHAnsi" w:eastAsiaTheme="majorEastAsia" w:hAnsiTheme="majorHAnsi" w:cstheme="majorBidi"/>
      <w:i/>
      <w:iCs/>
      <w:color w:val="4F81BD"/>
      <w:sz w:val="24"/>
      <w:szCs w:val="24"/>
      <w:spacing w:val="15"/>
    </w:rPr>
  </w:style>
  <w:style w:type="paragraph" w:styleId="ListParagraph">
    <w:name w:val="List Paragraph"/>
    <w:uiPriority w:val="34"/>
    <w:basedOn w:val="Normal"/>
    <w:qFormat/>
    <w:pPr>
      <w:ind w:left="720"/>
      <w:contextualSpacing/>
    </w:pPr>
  </w:style>
  <w:style w:type="paragraph" w:customStyle="1" w:styleId="BodyText">
    <w:name w:val="Body Text"/>
    <w:uiPriority w:val="99"/>
    <w:basedOn w:val="Normal"/>
    <w:link w:val="BodyTextChar"/>
    <w:unhideWhenUsed/>
    <w:pPr>
      <w:spacing w:after="120"/>
    </w:pPr>
  </w:style>
  <w:style w:type="character" w:customStyle="1" w:styleId="BodyTextChar">
    <w:name w:val="Body Text Char"/>
    <w:uiPriority w:val="99"/>
    <w:basedOn w:val="DefaultParagraphFont"/>
    <w:link w:val="BodyText"/>
  </w:style>
  <w:style w:type="paragraph" w:customStyle="1" w:styleId="BodyText2">
    <w:name w:val="Body Text 2"/>
    <w:uiPriority w:val="99"/>
    <w:basedOn w:val="Normal"/>
    <w:link w:val="BodyText2Char"/>
    <w:unhideWhenUsed/>
    <w:pPr>
      <w:spacing w:after="120" w:line="480" w:lineRule="auto"/>
    </w:pPr>
  </w:style>
  <w:style w:type="character" w:customStyle="1" w:styleId="BodyText2Char">
    <w:name w:val="Body Text 2 Char"/>
    <w:uiPriority w:val="99"/>
    <w:basedOn w:val="DefaultParagraphFont"/>
    <w:link w:val="BodyText2"/>
  </w:style>
  <w:style w:type="paragraph" w:customStyle="1" w:styleId="BodyText3">
    <w:name w:val="Body Text 3"/>
    <w:uiPriority w:val="99"/>
    <w:basedOn w:val="Normal"/>
    <w:link w:val="BodyText3Char"/>
    <w:unhideWhenUsed/>
    <w:pPr>
      <w:spacing w:after="120"/>
    </w:pPr>
    <w:rPr>
      <w:sz w:val="16"/>
      <w:szCs w:val="16"/>
    </w:rPr>
  </w:style>
  <w:style w:type="character" w:customStyle="1" w:styleId="BodyText3Char">
    <w:name w:val="Body Text 3 Char"/>
    <w:uiPriority w:val="99"/>
    <w:basedOn w:val="DefaultParagraphFont"/>
    <w:link w:val="BodyText3"/>
    <w:rPr>
      <w:sz w:val="16"/>
      <w:szCs w:val="16"/>
    </w:rPr>
  </w:style>
  <w:style w:type="paragraph" w:customStyle="1" w:styleId="List">
    <w:name w:val="List"/>
    <w:uiPriority w:val="99"/>
    <w:basedOn w:val="Normal"/>
    <w:unhideWhenUsed/>
    <w:pPr>
      <w:ind w:left="360" w:hanging="360"/>
      <w:contextualSpacing/>
    </w:pPr>
  </w:style>
  <w:style w:type="paragraph" w:customStyle="1" w:styleId="List2">
    <w:name w:val="List 2"/>
    <w:uiPriority w:val="99"/>
    <w:basedOn w:val="Normal"/>
    <w:unhideWhenUsed/>
    <w:pPr>
      <w:ind w:left="720" w:hanging="360"/>
      <w:contextualSpacing/>
    </w:pPr>
  </w:style>
  <w:style w:type="paragraph" w:customStyle="1" w:styleId="List3">
    <w:name w:val="List 3"/>
    <w:uiPriority w:val="99"/>
    <w:basedOn w:val="Normal"/>
    <w:unhideWhenUsed/>
    <w:pPr>
      <w:ind w:left="1080" w:hanging="360"/>
      <w:contextualSpacing/>
    </w:pPr>
  </w:style>
  <w:style w:type="paragraph" w:customStyle="1" w:styleId="ListBullet">
    <w:name w:val="List Bullet"/>
    <w:uiPriority w:val="99"/>
    <w:basedOn w:val="Normal"/>
    <w:unhideWhenUsed/>
    <w:pPr>
      <w:contextualSpacing/>
      <w:numPr>
        <w:numId w:val="1"/>
      </w:numPr>
    </w:pPr>
  </w:style>
  <w:style w:type="paragraph" w:customStyle="1" w:styleId="ListBullet2">
    <w:name w:val="List Bullet 2"/>
    <w:uiPriority w:val="99"/>
    <w:basedOn w:val="Normal"/>
    <w:unhideWhenUsed/>
    <w:pPr>
      <w:contextualSpacing/>
      <w:numPr>
        <w:numId w:val="2"/>
      </w:numPr>
    </w:pPr>
  </w:style>
  <w:style w:type="paragraph" w:customStyle="1" w:styleId="ListBullet3">
    <w:name w:val="List Bullet 3"/>
    <w:uiPriority w:val="99"/>
    <w:basedOn w:val="Normal"/>
    <w:unhideWhenUsed/>
    <w:pPr>
      <w:contextualSpacing/>
      <w:numPr>
        <w:numId w:val="3"/>
      </w:numPr>
    </w:pPr>
  </w:style>
  <w:style w:type="paragraph" w:customStyle="1" w:styleId="ListNumber">
    <w:name w:val="List Number"/>
    <w:uiPriority w:val="99"/>
    <w:basedOn w:val="Normal"/>
    <w:unhideWhenUsed/>
    <w:pPr>
      <w:contextualSpacing/>
      <w:numPr>
        <w:numId w:val="4"/>
      </w:numPr>
    </w:pPr>
  </w:style>
  <w:style w:type="paragraph" w:customStyle="1" w:styleId="ListNumber2">
    <w:name w:val="List Number 2"/>
    <w:uiPriority w:val="99"/>
    <w:basedOn w:val="Normal"/>
    <w:unhideWhenUsed/>
    <w:pPr>
      <w:contextualSpacing/>
      <w:numPr>
        <w:numId w:val="5"/>
      </w:numPr>
    </w:pPr>
  </w:style>
  <w:style w:type="paragraph" w:customStyle="1" w:styleId="ListNumber3">
    <w:name w:val="List Number 3"/>
    <w:uiPriority w:val="99"/>
    <w:basedOn w:val="Normal"/>
    <w:unhideWhenUsed/>
    <w:pPr>
      <w:contextualSpacing/>
      <w:numPr>
        <w:numId w:val="6"/>
      </w:numPr>
    </w:pPr>
  </w:style>
  <w:style w:type="paragraph" w:customStyle="1" w:styleId="ListContinue">
    <w:name w:val="List Continue"/>
    <w:uiPriority w:val="99"/>
    <w:basedOn w:val="Normal"/>
    <w:unhideWhenUsed/>
    <w:pPr>
      <w:ind w:left="360"/>
      <w:contextualSpacing/>
      <w:spacing w:after="120"/>
    </w:pPr>
  </w:style>
  <w:style w:type="paragraph" w:customStyle="1" w:styleId="ListContinue2">
    <w:name w:val="List Continue 2"/>
    <w:uiPriority w:val="99"/>
    <w:basedOn w:val="Normal"/>
    <w:unhideWhenUsed/>
    <w:pPr>
      <w:ind w:left="720"/>
      <w:contextualSpacing/>
      <w:spacing w:after="120"/>
    </w:pPr>
  </w:style>
  <w:style w:type="paragraph" w:customStyle="1" w:styleId="ListContinue3">
    <w:name w:val="List Continue 3"/>
    <w:uiPriority w:val="99"/>
    <w:basedOn w:val="Normal"/>
    <w:unhideWhenUsed/>
    <w:pPr>
      <w:ind w:left="1080"/>
      <w:contextualSpacing/>
      <w:spacing w:after="120"/>
    </w:pPr>
  </w:style>
  <w:style w:type="paragraph" w:customStyle="1" w:styleId="MacroText">
    <w:name w:val="macro"/>
    <w:uiPriority w:val="99"/>
    <w:link w:val="MacroTextChar"/>
    <w:unhideWhenUse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uiPriority w:val="99"/>
    <w:basedOn w:val="DefaultParagraphFont"/>
    <w:link w:val="MacroText"/>
    <w:rPr>
      <w:rFonts w:ascii="Courier" w:hAnsi="Courier"/>
      <w:sz w:val="20"/>
      <w:szCs w:val="20"/>
    </w:rPr>
  </w:style>
  <w:style w:type="paragraph" w:styleId="Quote">
    <w:name w:val="Quote"/>
    <w:uiPriority w:val="29"/>
    <w:basedOn w:val="Normal"/>
    <w:next w:val="Normal"/>
    <w:link w:val="QuoteChar"/>
    <w:qFormat/>
    <w:rPr>
      <w:i/>
      <w:iCs/>
      <w:color w:val="000000"/>
    </w:rPr>
  </w:style>
  <w:style w:type="character" w:customStyle="1" w:styleId="QuoteChar">
    <w:name w:val="Quote Char"/>
    <w:uiPriority w:val="29"/>
    <w:basedOn w:val="DefaultParagraphFont"/>
    <w:link w:val="Quote"/>
    <w:rPr>
      <w:i/>
      <w:iCs/>
      <w:color w:val="000000"/>
    </w:rPr>
  </w:style>
  <w:style w:type="character" w:customStyle="1" w:styleId="Heading4Char">
    <w:name w:val="Heading 4 Char"/>
    <w:uiPriority w:val="9"/>
    <w:basedOn w:val="DefaultParagraphFont"/>
    <w:link w:val="Heading4"/>
    <w:semiHidden/>
    <w:rPr>
      <w:rFonts w:asciiTheme="majorHAnsi" w:eastAsiaTheme="majorEastAsia" w:hAnsiTheme="majorHAnsi" w:cstheme="majorBidi"/>
      <w:b/>
      <w:bCs/>
      <w:i/>
      <w:iCs/>
      <w:color w:val="4F81BD"/>
    </w:rPr>
  </w:style>
  <w:style w:type="character" w:customStyle="1" w:styleId="Heading5Char">
    <w:name w:val="Heading 5 Char"/>
    <w:uiPriority w:val="9"/>
    <w:basedOn w:val="DefaultParagraphFont"/>
    <w:link w:val="Heading5"/>
    <w:semiHidden/>
    <w:rPr>
      <w:rFonts w:asciiTheme="majorHAnsi" w:eastAsiaTheme="majorEastAsia" w:hAnsiTheme="majorHAnsi" w:cstheme="majorBidi"/>
      <w:color w:val="244061"/>
    </w:rPr>
  </w:style>
  <w:style w:type="character" w:customStyle="1" w:styleId="Heading6Char">
    <w:name w:val="Heading 6 Char"/>
    <w:uiPriority w:val="9"/>
    <w:basedOn w:val="DefaultParagraphFont"/>
    <w:link w:val="Heading6"/>
    <w:semiHidden/>
    <w:rPr>
      <w:rFonts w:asciiTheme="majorHAnsi" w:eastAsiaTheme="majorEastAsia" w:hAnsiTheme="majorHAnsi" w:cstheme="majorBidi"/>
      <w:i/>
      <w:iCs/>
      <w:color w:val="244061"/>
    </w:rPr>
  </w:style>
  <w:style w:type="character" w:customStyle="1" w:styleId="Heading7Char">
    <w:name w:val="Heading 7 Char"/>
    <w:uiPriority w:val="9"/>
    <w:basedOn w:val="DefaultParagraphFont"/>
    <w:link w:val="Heading7"/>
    <w:semiHidden/>
    <w:rPr>
      <w:rFonts w:asciiTheme="majorHAnsi" w:eastAsiaTheme="majorEastAsia" w:hAnsiTheme="majorHAnsi" w:cstheme="majorBidi"/>
      <w:i/>
      <w:iCs/>
      <w:color w:val="8C8C8C"/>
    </w:rPr>
  </w:style>
  <w:style w:type="character" w:customStyle="1" w:styleId="Heading8Char">
    <w:name w:val="Heading 8 Char"/>
    <w:uiPriority w:val="9"/>
    <w:basedOn w:val="DefaultParagraphFont"/>
    <w:link w:val="Heading8"/>
    <w:semiHidden/>
    <w:rPr>
      <w:rFonts w:asciiTheme="majorHAnsi" w:eastAsiaTheme="majorEastAsia" w:hAnsiTheme="majorHAnsi" w:cstheme="majorBidi"/>
      <w:color w:val="4F81BD"/>
      <w:sz w:val="20"/>
      <w:szCs w:val="20"/>
    </w:rPr>
  </w:style>
  <w:style w:type="character" w:customStyle="1" w:styleId="Heading9Char">
    <w:name w:val="Heading 9 Char"/>
    <w:uiPriority w:val="9"/>
    <w:basedOn w:val="DefaultParagraphFont"/>
    <w:link w:val="Heading9"/>
    <w:semiHidden/>
    <w:rPr>
      <w:rFonts w:asciiTheme="majorHAnsi" w:eastAsiaTheme="majorEastAsia" w:hAnsiTheme="majorHAnsi" w:cstheme="majorBidi"/>
      <w:i/>
      <w:iCs/>
      <w:color w:val="8C8C8C"/>
      <w:sz w:val="20"/>
      <w:szCs w:val="20"/>
    </w:rPr>
  </w:style>
  <w:style w:type="paragraph" w:styleId="Caption">
    <w:name w:val="caption"/>
    <w:uiPriority w:val="35"/>
    <w:basedOn w:val="Normal"/>
    <w:next w:val="Normal"/>
    <w:qFormat/>
    <w:semiHidden/>
    <w:unhideWhenUsed/>
    <w:pPr>
      <w:spacing w:line="240" w:lineRule="auto"/>
    </w:pPr>
    <w:rPr>
      <w:b/>
      <w:bCs/>
      <w:color w:val="4F81BD"/>
      <w:sz w:val="18"/>
      <w:szCs w:val="18"/>
    </w:rPr>
  </w:style>
  <w:style w:type="character" w:styleId="Strong">
    <w:name w:val="Strong"/>
    <w:uiPriority w:val="22"/>
    <w:basedOn w:val="DefaultParagraphFont"/>
    <w:qFormat/>
    <w:rPr>
      <w:b/>
      <w:bCs/>
    </w:rPr>
  </w:style>
  <w:style w:type="character" w:styleId="Emphasis">
    <w:name w:val="Emphasis"/>
    <w:uiPriority w:val="20"/>
    <w:basedOn w:val="DefaultParagraphFont"/>
    <w:qFormat/>
    <w:rPr>
      <w:i/>
      <w:iCs/>
    </w:rPr>
  </w:style>
  <w:style w:type="paragraph" w:styleId="IntenseQuote">
    <w:name w:val="Intense Quote"/>
    <w:uiPriority w:val="30"/>
    <w:basedOn w:val="Normal"/>
    <w:next w:val="Normal"/>
    <w:link w:val="IntenseQuoteChar"/>
    <w:qFormat/>
    <w:pPr>
      <w:ind w:left="936" w:right="936"/>
      <w:pBdr>
        <w:bottom w:val="single" w:sz="4" w:space="4" w:color="4F81BD" w:themeColor="accent1"/>
      </w:pBdr>
      <w:spacing w:after="280" w:before="200"/>
    </w:pPr>
    <w:rPr>
      <w:b/>
      <w:bCs/>
      <w:i/>
      <w:iCs/>
      <w:color w:val="4F81BD"/>
    </w:rPr>
  </w:style>
  <w:style w:type="character" w:customStyle="1" w:styleId="IntenseQuoteChar">
    <w:name w:val="Intense Quote Char"/>
    <w:uiPriority w:val="30"/>
    <w:basedOn w:val="DefaultParagraphFont"/>
    <w:link w:val="IntenseQuote"/>
    <w:rPr>
      <w:b/>
      <w:bCs/>
      <w:i/>
      <w:iCs/>
      <w:color w:val="4F81BD"/>
    </w:rPr>
  </w:style>
  <w:style w:type="character" w:styleId="SubtleEmphasis">
    <w:name w:val="Subtle Emphasis"/>
    <w:uiPriority w:val="19"/>
    <w:basedOn w:val="DefaultParagraphFont"/>
    <w:qFormat/>
    <w:rPr>
      <w:i/>
      <w:iCs/>
      <w:color w:val="BDBDBD"/>
    </w:rPr>
  </w:style>
  <w:style w:type="character" w:styleId="IntenseEmphasis">
    <w:name w:val="Intense Emphasis"/>
    <w:uiPriority w:val="21"/>
    <w:basedOn w:val="DefaultParagraphFont"/>
    <w:qFormat/>
    <w:rPr>
      <w:b/>
      <w:bCs/>
      <w:i/>
      <w:iCs/>
      <w:color w:val="4F81BD"/>
    </w:rPr>
  </w:style>
  <w:style w:type="character" w:styleId="SubtleReference">
    <w:name w:val="Subtle Reference"/>
    <w:uiPriority w:val="31"/>
    <w:basedOn w:val="DefaultParagraphFont"/>
    <w:qFormat/>
    <w:rPr>
      <w:smallCaps/>
      <w:color w:val="C0504D"/>
      <w:u w:val="single" w:color="auto"/>
    </w:rPr>
  </w:style>
  <w:style w:type="character" w:styleId="IntenseReference">
    <w:name w:val="Intense Reference"/>
    <w:uiPriority w:val="32"/>
    <w:basedOn w:val="DefaultParagraphFont"/>
    <w:qFormat/>
    <w:rPr>
      <w:b/>
      <w:bCs/>
      <w:smallCaps/>
      <w:color w:val="C0504D"/>
      <w:u w:val="single" w:color="auto"/>
      <w:spacing w:val="5"/>
    </w:rPr>
  </w:style>
  <w:style w:type="character" w:styleId="BookTitle">
    <w:name w:val="Book Title"/>
    <w:uiPriority w:val="33"/>
    <w:basedOn w:val="DefaultParagraphFont"/>
    <w:qFormat/>
    <w:rPr>
      <w:b/>
      <w:bCs/>
      <w:smallCaps/>
      <w:spacing w:val="5"/>
    </w:rPr>
  </w:style>
  <w:style w:type="paragraph" w:styleId="TOCHeading">
    <w:name w:val="TOC Heading"/>
    <w:uiPriority w:val="39"/>
    <w:basedOn w:val="Heading1"/>
    <w:next w:val="Normal"/>
    <w:qFormat/>
    <w:semiHidden/>
    <w:unhideWhenUsed/>
    <w:pPr>
      <w:outlineLvl w:val="9"/>
    </w:pPr>
  </w:style>
  <w:style w:type="table" w:styleId="TableGrid">
    <w:name w:val="Table Grid"/>
    <w:uiPriority w:val="59"/>
    <w:basedOn w:val="TableNormal"/>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uiPriority w:val="60"/>
    <w:basedOn w:val="TableNormal"/>
    <w:pPr>
      <w:spacing w:after="0" w:line="240" w:lineRule="auto"/>
    </w:pPr>
    <w:rPr>
      <w:color w:val="00000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after="0" w:before="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left w:val="nil"/>
          <w:right w:val="nil"/>
          <w:insideH w:val="nil"/>
          <w:insideV w:val="nil"/>
        </w:tcBorders>
        <w:shd w:val="clear" w:color="auto" w:fill="E1E1E1" w:themeFill="text1" w:themeFillTint="3f"/>
      </w:tcPr>
    </w:tblStylePr>
  </w:style>
  <w:style w:type="table" w:styleId="LightShading-Accent1">
    <w:name w:val="Light Shading Accent 1"/>
    <w:uiPriority w:val="60"/>
    <w:basedOn w:val="TableNormal"/>
    <w:pPr>
      <w:spacing w:after="0" w:line="240" w:lineRule="auto"/>
    </w:pPr>
    <w:rPr>
      <w:color w:val="376092"/>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after="0" w:before="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8F1" w:themeFill="accent1" w:themeFillTint="3f"/>
      </w:tcPr>
    </w:tblStylePr>
    <w:tblStylePr w:type="band1Horz">
      <w:tblPr/>
      <w:tcPr>
        <w:tcBorders>
          <w:left w:val="nil"/>
          <w:right w:val="nil"/>
          <w:insideH w:val="nil"/>
          <w:insideV w:val="nil"/>
        </w:tcBorders>
        <w:shd w:val="clear" w:color="auto" w:fill="E4E8F1" w:themeFill="accent1" w:themeFillTint="3f"/>
      </w:tcPr>
    </w:tblStylePr>
  </w:style>
  <w:style w:type="table" w:styleId="LightShading-Accent2">
    <w:name w:val="Light Shading Accent 2"/>
    <w:uiPriority w:val="60"/>
    <w:basedOn w:val="TableNormal"/>
    <w:pPr>
      <w:spacing w:after="0" w:line="240" w:lineRule="auto"/>
    </w:pPr>
    <w:rPr>
      <w:color w:val="953735"/>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after="0" w:before="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4E3" w:themeFill="accent2" w:themeFillTint="3f"/>
      </w:tcPr>
    </w:tblStylePr>
    <w:tblStylePr w:type="band1Horz">
      <w:tblPr/>
      <w:tcPr>
        <w:tcBorders>
          <w:left w:val="nil"/>
          <w:right w:val="nil"/>
          <w:insideH w:val="nil"/>
          <w:insideV w:val="nil"/>
        </w:tcBorders>
        <w:shd w:val="clear" w:color="auto" w:fill="F1E4E3" w:themeFill="accent2" w:themeFillTint="3f"/>
      </w:tcPr>
    </w:tblStylePr>
  </w:style>
  <w:style w:type="table" w:styleId="LightShading-Accent3">
    <w:name w:val="Light Shading Accent 3"/>
    <w:uiPriority w:val="60"/>
    <w:basedOn w:val="TableNormal"/>
    <w:pPr>
      <w:spacing w:after="0" w:line="240" w:lineRule="auto"/>
    </w:pPr>
    <w:rPr>
      <w:color w:val="76933C"/>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after="0" w:before="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0E4" w:themeFill="accent3" w:themeFillTint="3f"/>
      </w:tcPr>
    </w:tblStylePr>
    <w:tblStylePr w:type="band1Horz">
      <w:tblPr/>
      <w:tcPr>
        <w:tcBorders>
          <w:left w:val="nil"/>
          <w:right w:val="nil"/>
          <w:insideH w:val="nil"/>
          <w:insideV w:val="nil"/>
        </w:tcBorders>
        <w:shd w:val="clear" w:color="auto" w:fill="EBF0E4" w:themeFill="accent3" w:themeFillTint="3f"/>
      </w:tcPr>
    </w:tblStylePr>
  </w:style>
  <w:style w:type="table" w:styleId="LightShading-Accent4">
    <w:name w:val="Light Shading Accent 4"/>
    <w:uiPriority w:val="60"/>
    <w:basedOn w:val="TableNormal"/>
    <w:pPr>
      <w:spacing w:after="0" w:line="240" w:lineRule="auto"/>
    </w:pPr>
    <w:rPr>
      <w:color w:val="604A7B"/>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after="0" w:before="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5EC" w:themeFill="accent4" w:themeFillTint="3f"/>
      </w:tcPr>
    </w:tblStylePr>
    <w:tblStylePr w:type="band1Horz">
      <w:tblPr/>
      <w:tcPr>
        <w:tcBorders>
          <w:left w:val="nil"/>
          <w:right w:val="nil"/>
          <w:insideH w:val="nil"/>
          <w:insideV w:val="nil"/>
        </w:tcBorders>
        <w:shd w:val="clear" w:color="auto" w:fill="E8E5EC" w:themeFill="accent4" w:themeFillTint="3f"/>
      </w:tcPr>
    </w:tblStylePr>
  </w:style>
  <w:style w:type="table" w:styleId="LightShading-Accent5">
    <w:name w:val="Light Shading Accent 5"/>
    <w:uiPriority w:val="60"/>
    <w:basedOn w:val="TableNormal"/>
    <w:pPr>
      <w:spacing w:after="0" w:line="240" w:lineRule="auto"/>
    </w:pPr>
    <w:rPr>
      <w:color w:val="31859B"/>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after="0" w:before="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EF3" w:themeFill="accent5" w:themeFillTint="3f"/>
      </w:tcPr>
    </w:tblStylePr>
    <w:tblStylePr w:type="band1Horz">
      <w:tblPr/>
      <w:tcPr>
        <w:tcBorders>
          <w:left w:val="nil"/>
          <w:right w:val="nil"/>
          <w:insideH w:val="nil"/>
          <w:insideV w:val="nil"/>
        </w:tcBorders>
        <w:shd w:val="clear" w:color="auto" w:fill="E3EEF3" w:themeFill="accent5" w:themeFillTint="3f"/>
      </w:tcPr>
    </w:tblStylePr>
  </w:style>
  <w:style w:type="table" w:styleId="LightShading-Accent6">
    <w:name w:val="Light Shading Accent 6"/>
    <w:uiPriority w:val="60"/>
    <w:basedOn w:val="TableNormal"/>
    <w:pPr>
      <w:spacing w:after="0" w:line="240" w:lineRule="auto"/>
    </w:pPr>
    <w:rPr>
      <w:color w:val="E46C0A"/>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StyleColBandSize w:val="1"/>
      <w:tblStyleRowBandSize w:val="1"/>
    </w:tblPr>
    <w:tblStylePr w:type="fir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after="0" w:before="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BE3" w:themeFill="accent6" w:themeFillTint="3f"/>
      </w:tcPr>
    </w:tblStylePr>
    <w:tblStylePr w:type="band1Horz">
      <w:tblPr/>
      <w:tcPr>
        <w:tcBorders>
          <w:left w:val="nil"/>
          <w:right w:val="nil"/>
          <w:insideH w:val="nil"/>
          <w:insideV w:val="nil"/>
        </w:tcBorders>
        <w:shd w:val="clear" w:color="auto" w:fill="FDEBE3" w:themeFill="accent6" w:themeFillTint="3f"/>
      </w:tcPr>
    </w:tblStylePr>
  </w:style>
  <w:style w:type="table" w:styleId="LightList">
    <w:name w:val="Light List"/>
    <w:uiPriority w:val="61"/>
    <w:basedOn w:val="TableNormal"/>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000000" w:themeFill="text1"/>
      </w:tcPr>
    </w:tblStylePr>
    <w:tblStylePr w:type="lastRow">
      <w:pPr>
        <w:spacing w:after="0" w:before="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uiPriority w:val="61"/>
    <w:basedOn w:val="TableNormal"/>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4F81BD" w:themeFill="accent1"/>
      </w:tcPr>
    </w:tblStylePr>
    <w:tblStylePr w:type="lastRow">
      <w:pPr>
        <w:spacing w:after="0" w:before="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uiPriority w:val="61"/>
    <w:basedOn w:val="TableNormal"/>
    <w:pPr>
      <w:spacing w:after="0" w:line="240" w:lineRule="auto"/>
    </w:p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C0504D" w:themeFill="accent2"/>
      </w:tcPr>
    </w:tblStylePr>
    <w:tblStylePr w:type="lastRow">
      <w:pPr>
        <w:spacing w:after="0" w:before="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uiPriority w:val="61"/>
    <w:basedOn w:val="TableNormal"/>
    <w:pPr>
      <w:spacing w:after="0" w:line="240" w:lineRule="auto"/>
    </w:p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9BBB59" w:themeFill="accent3"/>
      </w:tcPr>
    </w:tblStylePr>
    <w:tblStylePr w:type="lastRow">
      <w:pPr>
        <w:spacing w:after="0" w:before="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uiPriority w:val="61"/>
    <w:basedOn w:val="TableNormal"/>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8064A2" w:themeFill="accent4"/>
      </w:tcPr>
    </w:tblStylePr>
    <w:tblStylePr w:type="lastRow">
      <w:pPr>
        <w:spacing w:after="0" w:before="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uiPriority w:val="61"/>
    <w:basedOn w:val="TableNormal"/>
    <w:pPr>
      <w:spacing w:after="0" w:line="240" w:lineRule="auto"/>
    </w:p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4BACC6" w:themeFill="accent5"/>
      </w:tcPr>
    </w:tblStylePr>
    <w:tblStylePr w:type="lastRow">
      <w:pPr>
        <w:spacing w:after="0" w:before="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uiPriority w:val="61"/>
    <w:basedOn w:val="TableNormal"/>
    <w:pPr>
      <w:spacing w:after="0" w:line="240" w:lineRule="auto"/>
    </w:p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shd w:val="clear" w:color="auto" w:fill="F79646" w:themeFill="accent6"/>
      </w:tcPr>
    </w:tblStylePr>
    <w:tblStylePr w:type="lastRow">
      <w:pPr>
        <w:spacing w:after="0" w:before="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uiPriority w:val="62"/>
    <w:basedOn w:val="TableNormal"/>
    <w:pPr>
      <w:spacing w:after="0" w:line="240" w:lineRule="auto"/>
    </w:p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E1E1E1"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E1E1E1"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uiPriority w:val="62"/>
    <w:basedOn w:val="TableNormal"/>
    <w:pPr>
      <w:spacing w:after="0" w:line="240" w:lineRule="auto"/>
    </w:p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E4E8F1"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E4E8F1"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uiPriority w:val="62"/>
    <w:basedOn w:val="TableNormal"/>
    <w:pPr>
      <w:spacing w:after="0" w:line="240" w:lineRule="auto"/>
    </w:p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F1E4E3"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F1E4E3"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uiPriority w:val="62"/>
    <w:basedOn w:val="TableNormal"/>
    <w:pPr>
      <w:spacing w:after="0" w:line="240" w:lineRule="auto"/>
    </w:p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BF0E4"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BF0E4"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uiPriority w:val="62"/>
    <w:basedOn w:val="TableNormal"/>
    <w:pPr>
      <w:spacing w:after="0" w:line="240" w:lineRule="auto"/>
    </w:p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E8E5EC"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E8E5EC"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uiPriority w:val="62"/>
    <w:basedOn w:val="TableNormal"/>
    <w:pPr>
      <w:spacing w:after="0" w:line="240" w:lineRule="auto"/>
    </w:p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E3EEF3"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E3EEF3"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uiPriority w:val="62"/>
    <w:basedOn w:val="TableNormal"/>
    <w:pPr>
      <w:spacing w:after="0" w:line="240" w:lineRule="auto"/>
    </w:p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StyleColBandSize w:val="1"/>
      <w:tblStyleRowBandSize w:val="1"/>
    </w:tblPr>
    <w:tblStylePr w:type="firstRow">
      <w:pPr>
        <w:spacing w:after="0" w:before="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after="0" w:before="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BE3"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BE3"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uiPriority w:val="63"/>
    <w:basedOn w:val="TableNormal"/>
    <w:pPr>
      <w:spacing w:after="0" w:line="240" w:lineRule="auto"/>
    </w:pPr>
    <w:tblPr>
      <w:tblInd w:w="0" w:type="dxa"/>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shd w:val="clear" w:color="auto" w:fill="000000" w:themeFill="text1"/>
      </w:tcPr>
    </w:tblStylePr>
    <w:tblStylePr w:type="lastRow">
      <w:pPr>
        <w:spacing w:after="0" w:before="0" w:line="240" w:lineRule="auto"/>
      </w:pPr>
      <w:rPr>
        <w:b/>
        <w:bCs/>
      </w:rPr>
      <w:tblPr/>
      <w:tcPr>
        <w:tcBorders>
          <w:top w:val="double" w:sz="6"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nil"/>
          <w:insideV w:val="nil"/>
        </w:tcBorders>
      </w:tcPr>
    </w:tblStylePr>
    <w:tblStylePr w:type="firstCol">
      <w:rPr>
        <w:b/>
        <w:bCs/>
      </w:rPr>
    </w:tblStylePr>
    <w:tblStylePr w:type="lastCol">
      <w:rPr>
        <w:b/>
        <w:bCs/>
      </w:rPr>
    </w:tblStylePr>
    <w:tblStylePr w:type="band1Vert">
      <w:tblPr/>
      <w:tcPr>
        <w:shd w:val="clear" w:color="auto" w:fill="E1E1E1" w:themeFill="text1" w:themeFillTint="3f"/>
      </w:tcPr>
    </w:tblStylePr>
    <w:tblStylePr w:type="band1Horz">
      <w:tblPr/>
      <w:tcPr>
        <w:tcBorders>
          <w:insideH w:val="nil"/>
          <w:insideV w:val="nil"/>
        </w:tcBorders>
        <w:shd w:val="clear" w:color="auto" w:fill="E1E1E1" w:themeFill="text1" w:themeFillTint="3f"/>
      </w:tcPr>
    </w:tblStylePr>
    <w:tblStylePr w:type="band2Horz">
      <w:tblPr/>
      <w:tcPr>
        <w:tcBorders>
          <w:insideH w:val="nil"/>
          <w:insideV w:val="nil"/>
        </w:tcBorders>
      </w:tcPr>
    </w:tblStylePr>
  </w:style>
  <w:style w:type="table" w:styleId="MediumShading1-Accent1">
    <w:name w:val="Medium Shading 1 Accent 1"/>
    <w:uiPriority w:val="63"/>
    <w:basedOn w:val="TableNormal"/>
    <w:pPr>
      <w:spacing w:after="0" w:line="240" w:lineRule="auto"/>
    </w:pPr>
    <w:tblPr>
      <w:tblInd w:w="0" w:type="dxa"/>
      <w:tblBorders>
        <w:top w:val="single" w:sz="8"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single" w:sz="8" w:space="0" w:color="97ADD0" w:themeColor="accent1"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nil"/>
          <w:insideV w:val="nil"/>
        </w:tcBorders>
        <w:shd w:val="clear" w:color="auto" w:fill="4F81BD" w:themeFill="accent1"/>
      </w:tcPr>
    </w:tblStylePr>
    <w:tblStylePr w:type="lastRow">
      <w:pPr>
        <w:spacing w:after="0" w:before="0" w:line="240" w:lineRule="auto"/>
      </w:pPr>
      <w:rPr>
        <w:b/>
        <w:bCs/>
      </w:rPr>
      <w:tblPr/>
      <w:tcPr>
        <w:tcBorders>
          <w:top w:val="double" w:sz="6"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nil"/>
          <w:insideV w:val="nil"/>
        </w:tcBorders>
      </w:tcPr>
    </w:tblStylePr>
    <w:tblStylePr w:type="firstCol">
      <w:rPr>
        <w:b/>
        <w:bCs/>
      </w:rPr>
    </w:tblStylePr>
    <w:tblStylePr w:type="lastCol">
      <w:rPr>
        <w:b/>
        <w:bCs/>
      </w:rPr>
    </w:tblStylePr>
    <w:tblStylePr w:type="band1Vert">
      <w:tblPr/>
      <w:tcPr>
        <w:shd w:val="clear" w:color="auto" w:fill="E4E8F1" w:themeFill="accent1" w:themeFillTint="3f"/>
      </w:tcPr>
    </w:tblStylePr>
    <w:tblStylePr w:type="band1Horz">
      <w:tblPr/>
      <w:tcPr>
        <w:tcBorders>
          <w:insideH w:val="nil"/>
          <w:insideV w:val="nil"/>
        </w:tcBorders>
        <w:shd w:val="clear" w:color="auto" w:fill="E4E8F1" w:themeFill="accent1" w:themeFillTint="3f"/>
      </w:tcPr>
    </w:tblStylePr>
    <w:tblStylePr w:type="band2Horz">
      <w:tblPr/>
      <w:tcPr>
        <w:tcBorders>
          <w:insideH w:val="nil"/>
          <w:insideV w:val="nil"/>
        </w:tcBorders>
      </w:tcPr>
    </w:tblStylePr>
  </w:style>
  <w:style w:type="table" w:styleId="MediumShading1-Accent2">
    <w:name w:val="Medium Shading 1 Accent 2"/>
    <w:uiPriority w:val="63"/>
    <w:basedOn w:val="TableNormal"/>
    <w:pPr>
      <w:spacing w:after="0" w:line="240" w:lineRule="auto"/>
    </w:pPr>
    <w:tblPr>
      <w:tblInd w:w="0" w:type="dxa"/>
      <w:tblBorders>
        <w:top w:val="single" w:sz="8"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single" w:sz="8" w:space="0" w:color="D29897" w:themeColor="accent2"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nil"/>
          <w:insideV w:val="nil"/>
        </w:tcBorders>
        <w:shd w:val="clear" w:color="auto" w:fill="C0504D" w:themeFill="accent2"/>
      </w:tcPr>
    </w:tblStylePr>
    <w:tblStylePr w:type="lastRow">
      <w:pPr>
        <w:spacing w:after="0" w:before="0" w:line="240" w:lineRule="auto"/>
      </w:pPr>
      <w:rPr>
        <w:b/>
        <w:bCs/>
      </w:rPr>
      <w:tblPr/>
      <w:tcPr>
        <w:tcBorders>
          <w:top w:val="double" w:sz="6"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E4E3" w:themeFill="accent2" w:themeFillTint="3f"/>
      </w:tcPr>
    </w:tblStylePr>
    <w:tblStylePr w:type="band1Horz">
      <w:tblPr/>
      <w:tcPr>
        <w:tcBorders>
          <w:insideH w:val="nil"/>
          <w:insideV w:val="nil"/>
        </w:tcBorders>
        <w:shd w:val="clear" w:color="auto" w:fill="F1E4E3" w:themeFill="accent2" w:themeFillTint="3f"/>
      </w:tcPr>
    </w:tblStylePr>
    <w:tblStylePr w:type="band2Horz">
      <w:tblPr/>
      <w:tcPr>
        <w:tcBorders>
          <w:insideH w:val="nil"/>
          <w:insideV w:val="nil"/>
        </w:tcBorders>
      </w:tcPr>
    </w:tblStylePr>
  </w:style>
  <w:style w:type="table" w:styleId="MediumShading1-Accent3">
    <w:name w:val="Medium Shading 1 Accent 3"/>
    <w:uiPriority w:val="63"/>
    <w:basedOn w:val="TableNormal"/>
    <w:pPr>
      <w:spacing w:after="0" w:line="240" w:lineRule="auto"/>
    </w:pPr>
    <w:tblPr>
      <w:tblInd w:w="0" w:type="dxa"/>
      <w:tblBorders>
        <w:top w:val="single" w:sz="8"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single" w:sz="8" w:space="0" w:color="BBCF9B" w:themeColor="accent3"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nil"/>
          <w:insideV w:val="nil"/>
        </w:tcBorders>
        <w:shd w:val="clear" w:color="auto" w:fill="9BBB59" w:themeFill="accent3"/>
      </w:tcPr>
    </w:tblStylePr>
    <w:tblStylePr w:type="lastRow">
      <w:pPr>
        <w:spacing w:after="0" w:before="0" w:line="240" w:lineRule="auto"/>
      </w:pPr>
      <w:rPr>
        <w:b/>
        <w:bCs/>
      </w:rPr>
      <w:tblPr/>
      <w:tcPr>
        <w:tcBorders>
          <w:top w:val="double" w:sz="6"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BF0E4" w:themeFill="accent3" w:themeFillTint="3f"/>
      </w:tcPr>
    </w:tblStylePr>
    <w:tblStylePr w:type="band1Horz">
      <w:tblPr/>
      <w:tcPr>
        <w:tcBorders>
          <w:insideH w:val="nil"/>
          <w:insideV w:val="nil"/>
        </w:tcBorders>
        <w:shd w:val="clear" w:color="auto" w:fill="EBF0E4" w:themeFill="accent3" w:themeFillTint="3f"/>
      </w:tcPr>
    </w:tblStylePr>
    <w:tblStylePr w:type="band2Horz">
      <w:tblPr/>
      <w:tcPr>
        <w:tcBorders>
          <w:insideH w:val="nil"/>
          <w:insideV w:val="nil"/>
        </w:tcBorders>
      </w:tcPr>
    </w:tblStylePr>
  </w:style>
  <w:style w:type="table" w:styleId="MediumShading1-Accent4">
    <w:name w:val="Medium Shading 1 Accent 4"/>
    <w:uiPriority w:val="63"/>
    <w:basedOn w:val="TableNormal"/>
    <w:pPr>
      <w:spacing w:after="0" w:line="240" w:lineRule="auto"/>
    </w:pPr>
    <w:tblPr>
      <w:tblInd w:w="0" w:type="dxa"/>
      <w:tblBorders>
        <w:top w:val="single" w:sz="8"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single" w:sz="8" w:space="0" w:color="AC9FBF" w:themeColor="accent4"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nil"/>
          <w:insideV w:val="nil"/>
        </w:tcBorders>
        <w:shd w:val="clear" w:color="auto" w:fill="8064A2" w:themeFill="accent4"/>
      </w:tcPr>
    </w:tblStylePr>
    <w:tblStylePr w:type="lastRow">
      <w:pPr>
        <w:spacing w:after="0" w:before="0" w:line="240" w:lineRule="auto"/>
      </w:pPr>
      <w:rPr>
        <w:b/>
        <w:bCs/>
      </w:rPr>
      <w:tblPr/>
      <w:tcPr>
        <w:tcBorders>
          <w:top w:val="double" w:sz="6"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8E5EC" w:themeFill="accent4" w:themeFillTint="3f"/>
      </w:tcPr>
    </w:tblStylePr>
    <w:tblStylePr w:type="band1Horz">
      <w:tblPr/>
      <w:tcPr>
        <w:tcBorders>
          <w:insideH w:val="nil"/>
          <w:insideV w:val="nil"/>
        </w:tcBorders>
        <w:shd w:val="clear" w:color="auto" w:fill="E8E5EC" w:themeFill="accent4" w:themeFillTint="3f"/>
      </w:tcPr>
    </w:tblStylePr>
    <w:tblStylePr w:type="band2Horz">
      <w:tblPr/>
      <w:tcPr>
        <w:tcBorders>
          <w:insideH w:val="nil"/>
          <w:insideV w:val="nil"/>
        </w:tcBorders>
      </w:tcPr>
    </w:tblStylePr>
  </w:style>
  <w:style w:type="table" w:styleId="MediumShading1-Accent5">
    <w:name w:val="Medium Shading 1 Accent 5"/>
    <w:uiPriority w:val="63"/>
    <w:basedOn w:val="TableNormal"/>
    <w:pPr>
      <w:spacing w:after="0" w:line="240" w:lineRule="auto"/>
    </w:pPr>
    <w:tblPr>
      <w:tblInd w:w="0" w:type="dxa"/>
      <w:tblBorders>
        <w:top w:val="single" w:sz="8"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single" w:sz="8" w:space="0" w:color="96C5D6" w:themeColor="accent5"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nil"/>
          <w:insideV w:val="nil"/>
        </w:tcBorders>
        <w:shd w:val="clear" w:color="auto" w:fill="4BACC6" w:themeFill="accent5"/>
      </w:tcPr>
    </w:tblStylePr>
    <w:tblStylePr w:type="lastRow">
      <w:pPr>
        <w:spacing w:after="0" w:before="0" w:line="240" w:lineRule="auto"/>
      </w:pPr>
      <w:rPr>
        <w:b/>
        <w:bCs/>
      </w:rPr>
      <w:tblPr/>
      <w:tcPr>
        <w:tcBorders>
          <w:top w:val="double" w:sz="6"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EF3" w:themeFill="accent5" w:themeFillTint="3f"/>
      </w:tcPr>
    </w:tblStylePr>
    <w:tblStylePr w:type="band1Horz">
      <w:tblPr/>
      <w:tcPr>
        <w:tcBorders>
          <w:insideH w:val="nil"/>
          <w:insideV w:val="nil"/>
        </w:tcBorders>
        <w:shd w:val="clear" w:color="auto" w:fill="E3EEF3" w:themeFill="accent5" w:themeFillTint="3f"/>
      </w:tcPr>
    </w:tblStylePr>
    <w:tblStylePr w:type="band2Horz">
      <w:tblPr/>
      <w:tcPr>
        <w:tcBorders>
          <w:insideH w:val="nil"/>
          <w:insideV w:val="nil"/>
        </w:tcBorders>
      </w:tcPr>
    </w:tblStylePr>
  </w:style>
  <w:style w:type="table" w:styleId="MediumShading1-Accent6">
    <w:name w:val="Medium Shading 1 Accent 6"/>
    <w:uiPriority w:val="63"/>
    <w:basedOn w:val="TableNormal"/>
    <w:pPr>
      <w:spacing w:after="0" w:line="240" w:lineRule="auto"/>
    </w:pPr>
    <w:tblPr>
      <w:tblInd w:w="0" w:type="dxa"/>
      <w:tblBorders>
        <w:top w:val="single" w:sz="8"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single" w:sz="8" w:space="0" w:color="F9B895" w:themeColor="accent6" w:themeTint="bf"/>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8"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nil"/>
          <w:insideV w:val="nil"/>
        </w:tcBorders>
        <w:shd w:val="clear" w:color="auto" w:fill="F79646" w:themeFill="accent6"/>
      </w:tcPr>
    </w:tblStylePr>
    <w:tblStylePr w:type="lastRow">
      <w:pPr>
        <w:spacing w:after="0" w:before="0" w:line="240" w:lineRule="auto"/>
      </w:pPr>
      <w:rPr>
        <w:b/>
        <w:bCs/>
      </w:rPr>
      <w:tblPr/>
      <w:tcPr>
        <w:tcBorders>
          <w:top w:val="double" w:sz="6"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BE3" w:themeFill="accent6" w:themeFillTint="3f"/>
      </w:tcPr>
    </w:tblStylePr>
    <w:tblStylePr w:type="band1Horz">
      <w:tblPr/>
      <w:tcPr>
        <w:tcBorders>
          <w:insideH w:val="nil"/>
          <w:insideV w:val="nil"/>
        </w:tcBorders>
        <w:shd w:val="clear" w:color="auto" w:fill="FDEBE3" w:themeFill="accent6" w:themeFillTint="3f"/>
      </w:tcPr>
    </w:tblStylePr>
    <w:tblStylePr w:type="band2Horz">
      <w:tblPr/>
      <w:tcPr>
        <w:tcBorders>
          <w:insideH w:val="nil"/>
          <w:insideV w:val="nil"/>
        </w:tcBorders>
      </w:tcPr>
    </w:tblStylePr>
  </w:style>
  <w:style w:type="table" w:styleId="MediumShading2">
    <w:name w:val="Medium Shading 2"/>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uiPriority w:val="64"/>
    <w:basedOn w:val="TableNormal"/>
    <w:pPr>
      <w:spacing w:after="0" w:line="240" w:lineRule="auto"/>
    </w:pPr>
    <w:tblPr>
      <w:tblInd w:w="0" w:type="dxa"/>
      <w:tblBorders>
        <w:top w:val="single" w:sz="18" w:space="0" w:color="auto"/>
        <w:bottom w:val="single" w:sz="18" w:space="0" w:color="auto"/>
      </w:tblBorders>
      <w:tblCellMar>
        <w:top w:w="0" w:type="dxa"/>
        <w:left w:w="108" w:type="dxa"/>
        <w:bottom w:w="0" w:type="dxa"/>
        <w:right w:w="108" w:type="dxa"/>
      </w:tblCellMar>
      <w:tblStyleColBandSize w:val="1"/>
      <w:tblStyleRowBandSize w:val="1"/>
    </w:tblPr>
    <w:tblStylePr w:type="firstRow">
      <w:pPr>
        <w:spacing w:after="0" w:before="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after="0" w:before="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List1">
    <w:name w:val="Medium List 1"/>
    <w:uiPriority w:val="65"/>
    <w:basedOn w:val="TableNormal"/>
    <w:pPr>
      <w:spacing w:after="0" w:line="240" w:lineRule="auto"/>
    </w:pPr>
    <w:rPr>
      <w:color w:val="000000"/>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E1E1E1" w:themeFill="text1" w:themeFillTint="3f"/>
      </w:tcPr>
    </w:tblStylePr>
    <w:tblStylePr w:type="band1Horz">
      <w:tblPr/>
      <w:tcPr>
        <w:shd w:val="clear" w:color="auto" w:fill="E1E1E1" w:themeFill="text1" w:themeFillTint="3f"/>
      </w:tcPr>
    </w:tblStylePr>
  </w:style>
  <w:style w:type="table" w:styleId="MediumList1-Accent1">
    <w:name w:val="Medium List 1 Accent 1"/>
    <w:uiPriority w:val="65"/>
    <w:basedOn w:val="TableNormal"/>
    <w:pPr>
      <w:spacing w:after="0" w:line="240" w:lineRule="auto"/>
    </w:pPr>
    <w:rPr>
      <w:color w:val="000000"/>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E4E8F1" w:themeFill="accent1" w:themeFillTint="3f"/>
      </w:tcPr>
    </w:tblStylePr>
    <w:tblStylePr w:type="band1Horz">
      <w:tblPr/>
      <w:tcPr>
        <w:shd w:val="clear" w:color="auto" w:fill="E4E8F1" w:themeFill="accent1" w:themeFillTint="3f"/>
      </w:tcPr>
    </w:tblStylePr>
  </w:style>
  <w:style w:type="table" w:styleId="MediumList1-Accent2">
    <w:name w:val="Medium List 1 Accent 2"/>
    <w:uiPriority w:val="65"/>
    <w:basedOn w:val="TableNormal"/>
    <w:pPr>
      <w:spacing w:after="0" w:line="240" w:lineRule="auto"/>
    </w:pPr>
    <w:rPr>
      <w:color w:val="000000"/>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F1E4E3" w:themeFill="accent2" w:themeFillTint="3f"/>
      </w:tcPr>
    </w:tblStylePr>
    <w:tblStylePr w:type="band1Horz">
      <w:tblPr/>
      <w:tcPr>
        <w:shd w:val="clear" w:color="auto" w:fill="F1E4E3" w:themeFill="accent2" w:themeFillTint="3f"/>
      </w:tcPr>
    </w:tblStylePr>
  </w:style>
  <w:style w:type="table" w:styleId="MediumList1-Accent3">
    <w:name w:val="Medium List 1 Accent 3"/>
    <w:uiPriority w:val="65"/>
    <w:basedOn w:val="TableNormal"/>
    <w:pPr>
      <w:spacing w:after="0" w:line="240" w:lineRule="auto"/>
    </w:pPr>
    <w:rPr>
      <w:color w:val="000000"/>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BF0E4" w:themeFill="accent3" w:themeFillTint="3f"/>
      </w:tcPr>
    </w:tblStylePr>
    <w:tblStylePr w:type="band1Horz">
      <w:tblPr/>
      <w:tcPr>
        <w:shd w:val="clear" w:color="auto" w:fill="EBF0E4" w:themeFill="accent3" w:themeFillTint="3f"/>
      </w:tcPr>
    </w:tblStylePr>
  </w:style>
  <w:style w:type="table" w:styleId="MediumList1-Accent4">
    <w:name w:val="Medium List 1 Accent 4"/>
    <w:uiPriority w:val="65"/>
    <w:basedOn w:val="TableNormal"/>
    <w:pPr>
      <w:spacing w:after="0" w:line="240" w:lineRule="auto"/>
    </w:pPr>
    <w:rPr>
      <w:color w:val="000000"/>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E8E5EC" w:themeFill="accent4" w:themeFillTint="3f"/>
      </w:tcPr>
    </w:tblStylePr>
    <w:tblStylePr w:type="band1Horz">
      <w:tblPr/>
      <w:tcPr>
        <w:shd w:val="clear" w:color="auto" w:fill="E8E5EC" w:themeFill="accent4" w:themeFillTint="3f"/>
      </w:tcPr>
    </w:tblStylePr>
  </w:style>
  <w:style w:type="table" w:styleId="MediumList1-Accent5">
    <w:name w:val="Medium List 1 Accent 5"/>
    <w:uiPriority w:val="65"/>
    <w:basedOn w:val="TableNormal"/>
    <w:pPr>
      <w:spacing w:after="0" w:line="240" w:lineRule="auto"/>
    </w:pPr>
    <w:rPr>
      <w:color w:val="000000"/>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E3EEF3" w:themeFill="accent5" w:themeFillTint="3f"/>
      </w:tcPr>
    </w:tblStylePr>
    <w:tblStylePr w:type="band1Horz">
      <w:tblPr/>
      <w:tcPr>
        <w:shd w:val="clear" w:color="auto" w:fill="E3EEF3" w:themeFill="accent5" w:themeFillTint="3f"/>
      </w:tcPr>
    </w:tblStylePr>
  </w:style>
  <w:style w:type="table" w:styleId="MediumList1-Accent6">
    <w:name w:val="Medium List 1 Accent 6"/>
    <w:uiPriority w:val="65"/>
    <w:basedOn w:val="TableNormal"/>
    <w:pPr>
      <w:spacing w:after="0" w:line="240" w:lineRule="auto"/>
    </w:pPr>
    <w:rPr>
      <w:color w:val="000000"/>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StyleColBandSize w:val="1"/>
      <w:tblStyleRowBandSize w:val="1"/>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BE3" w:themeFill="accent6" w:themeFillTint="3f"/>
      </w:tcPr>
    </w:tblStylePr>
    <w:tblStylePr w:type="band1Horz">
      <w:tblPr/>
      <w:tcPr>
        <w:shd w:val="clear" w:color="auto" w:fill="FDEBE3" w:themeFill="accent6" w:themeFillTint="3f"/>
      </w:tcPr>
    </w:tblStylePr>
  </w:style>
  <w:style w:type="table" w:styleId="MediumList2">
    <w:name w:val="Medium List 2"/>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1E1" w:themeFill="text1" w:themeFillTint="3f"/>
      </w:tcPr>
    </w:tblStylePr>
    <w:tblStylePr w:type="band1Horz">
      <w:tblPr/>
      <w:tcPr>
        <w:tcBorders>
          <w:top w:val="nil"/>
          <w:bottom w:val="nil"/>
          <w:insideH w:val="nil"/>
          <w:insideV w:val="nil"/>
        </w:tcBorders>
        <w:shd w:val="clear" w:color="auto" w:fill="E1E1E1"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8F1" w:themeFill="accent1" w:themeFillTint="3f"/>
      </w:tcPr>
    </w:tblStylePr>
    <w:tblStylePr w:type="band1Horz">
      <w:tblPr/>
      <w:tcPr>
        <w:tcBorders>
          <w:top w:val="nil"/>
          <w:bottom w:val="nil"/>
          <w:insideH w:val="nil"/>
          <w:insideV w:val="nil"/>
        </w:tcBorders>
        <w:shd w:val="clear" w:color="auto" w:fill="E4E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E4E3" w:themeFill="accent2" w:themeFillTint="3f"/>
      </w:tcPr>
    </w:tblStylePr>
    <w:tblStylePr w:type="band1Horz">
      <w:tblPr/>
      <w:tcPr>
        <w:tcBorders>
          <w:top w:val="nil"/>
          <w:bottom w:val="nil"/>
          <w:insideH w:val="nil"/>
          <w:insideV w:val="nil"/>
        </w:tcBorders>
        <w:shd w:val="clear" w:color="auto" w:fill="F1E4E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0E4" w:themeFill="accent3" w:themeFillTint="3f"/>
      </w:tcPr>
    </w:tblStylePr>
    <w:tblStylePr w:type="band1Horz">
      <w:tblPr/>
      <w:tcPr>
        <w:tcBorders>
          <w:top w:val="nil"/>
          <w:bottom w:val="nil"/>
          <w:insideH w:val="nil"/>
          <w:insideV w:val="nil"/>
        </w:tcBorders>
        <w:shd w:val="clear" w:color="auto" w:fill="EBF0E4"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5EC" w:themeFill="accent4" w:themeFillTint="3f"/>
      </w:tcPr>
    </w:tblStylePr>
    <w:tblStylePr w:type="band1Horz">
      <w:tblPr/>
      <w:tcPr>
        <w:tcBorders>
          <w:top w:val="nil"/>
          <w:bottom w:val="nil"/>
          <w:insideH w:val="nil"/>
          <w:insideV w:val="nil"/>
        </w:tcBorders>
        <w:shd w:val="clear" w:color="auto" w:fill="E8E5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EEF3" w:themeFill="accent5" w:themeFillTint="3f"/>
      </w:tcPr>
    </w:tblStylePr>
    <w:tblStylePr w:type="band1Horz">
      <w:tblPr/>
      <w:tcPr>
        <w:tcBorders>
          <w:top w:val="nil"/>
          <w:bottom w:val="nil"/>
          <w:insideH w:val="nil"/>
          <w:insideV w:val="nil"/>
        </w:tcBorders>
        <w:shd w:val="clear" w:color="auto" w:fill="E3EE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uiPriority w:val="66"/>
    <w:basedOn w:val="TableNormal"/>
    <w:pPr>
      <w:spacing w:after="0" w:line="240" w:lineRule="auto"/>
    </w:pPr>
    <w:rPr>
      <w:rFonts w:asciiTheme="majorHAnsi" w:eastAsiaTheme="majorEastAsia" w:hAnsiTheme="majorHAnsi" w:cstheme="majorBidi"/>
      <w:color w:val="000000"/>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StyleColBandSize w:val="1"/>
      <w:tblStyleRowBandSize w:val="1"/>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BE3" w:themeFill="accent6" w:themeFillTint="3f"/>
      </w:tcPr>
    </w:tblStylePr>
    <w:tblStylePr w:type="band1Horz">
      <w:tblPr/>
      <w:tcPr>
        <w:tcBorders>
          <w:top w:val="nil"/>
          <w:bottom w:val="nil"/>
          <w:insideH w:val="nil"/>
          <w:insideV w:val="nil"/>
        </w:tcBorders>
        <w:shd w:val="clear" w:color="auto" w:fill="FDEBE3"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uiPriority w:val="67"/>
    <w:basedOn w:val="TableNormal"/>
    <w:pPr>
      <w:spacing w:after="0" w:line="240" w:lineRule="auto"/>
    </w:pPr>
    <w:tblPr>
      <w:tblInd w:w="0" w:type="dxa"/>
      <w:tblBorders>
        <w:top w:val="single" w:sz="8" w:space="0" w:color="8C8C8C" w:themeColor="text1" w:themeTint="bf"/>
        <w:left w:val="single" w:sz="8" w:space="0" w:color="8C8C8C" w:themeColor="text1" w:themeTint="bf"/>
        <w:bottom w:val="single" w:sz="8" w:space="0" w:color="8C8C8C" w:themeColor="text1" w:themeTint="bf"/>
        <w:right w:val="single" w:sz="8" w:space="0" w:color="8C8C8C" w:themeColor="text1" w:themeTint="bf"/>
        <w:insideH w:val="single" w:sz="8" w:space="0" w:color="8C8C8C" w:themeColor="text1" w:themeTint="bf"/>
        <w:insideV w:val="single" w:sz="8" w:space="0" w:color="8C8C8C" w:themeColor="text1" w:themeTint="bf"/>
      </w:tblBorders>
      <w:tblCellMar>
        <w:top w:w="0" w:type="dxa"/>
        <w:left w:w="108" w:type="dxa"/>
        <w:bottom w:w="0" w:type="dxa"/>
        <w:right w:w="108" w:type="dxa"/>
      </w:tblCellMar>
      <w:tblStyleColBandSize w:val="1"/>
      <w:tblStyleRowBandSize w:val="1"/>
    </w:tblPr>
    <w:tcPr>
      <w:shd w:val="clear" w:color="auto" w:fill="E1E1E1" w:themeFill="text1" w:themeFillTint="3f"/>
    </w:tcPr>
    <w:tblStylePr w:type="firstRow">
      <w:rPr>
        <w:b/>
        <w:bCs/>
      </w:rPr>
    </w:tblStylePr>
    <w:tblStylePr w:type="lastRow">
      <w:rPr>
        <w:b/>
        <w:bCs/>
      </w:rPr>
      <w:tblPr/>
      <w:tcPr>
        <w:tcBorders>
          <w:top w:val="single" w:sz="18" w:space="0" w:color="8C8C8C" w:themeColor="text1" w:themeTint="bf"/>
        </w:tcBorders>
      </w:tcPr>
    </w:tblStylePr>
    <w:tblStylePr w:type="firstCol">
      <w:rPr>
        <w:b/>
        <w:bCs/>
      </w:rPr>
    </w:tblStylePr>
    <w:tblStylePr w:type="lastCol">
      <w:rPr>
        <w:b/>
        <w:bCs/>
      </w:rPr>
    </w:tblStylePr>
    <w:tblStylePr w:type="band1Vert">
      <w:tblPr/>
      <w:tcPr>
        <w:shd w:val="clear" w:color="auto" w:fill="BDBDBD" w:themeFill="text1" w:themeFillTint="7f"/>
      </w:tcPr>
    </w:tblStylePr>
    <w:tblStylePr w:type="band1Horz">
      <w:tblPr/>
      <w:tcPr>
        <w:shd w:val="clear" w:color="auto" w:fill="BDBDBD" w:themeFill="text1" w:themeFillTint="7f"/>
      </w:tcPr>
    </w:tblStylePr>
  </w:style>
  <w:style w:type="table" w:styleId="MediumGrid1-Accent1">
    <w:name w:val="Medium Grid 1 Accent 1"/>
    <w:uiPriority w:val="67"/>
    <w:basedOn w:val="TableNormal"/>
    <w:pPr>
      <w:spacing w:after="0" w:line="240" w:lineRule="auto"/>
    </w:pPr>
    <w:tblPr>
      <w:tblInd w:w="0" w:type="dxa"/>
      <w:tblBorders>
        <w:top w:val="single" w:sz="8" w:space="0" w:color="97ADD0" w:themeColor="accent1" w:themeTint="bf"/>
        <w:left w:val="single" w:sz="8" w:space="0" w:color="97ADD0" w:themeColor="accent1" w:themeTint="bf"/>
        <w:bottom w:val="single" w:sz="8" w:space="0" w:color="97ADD0" w:themeColor="accent1" w:themeTint="bf"/>
        <w:right w:val="single" w:sz="8" w:space="0" w:color="97ADD0" w:themeColor="accent1" w:themeTint="bf"/>
        <w:insideH w:val="single" w:sz="8" w:space="0" w:color="97ADD0" w:themeColor="accent1" w:themeTint="bf"/>
        <w:insideV w:val="single" w:sz="8" w:space="0" w:color="97ADD0" w:themeColor="accent1" w:themeTint="bf"/>
      </w:tblBorders>
      <w:tblCellMar>
        <w:top w:w="0" w:type="dxa"/>
        <w:left w:w="108" w:type="dxa"/>
        <w:bottom w:w="0" w:type="dxa"/>
        <w:right w:w="108" w:type="dxa"/>
      </w:tblCellMar>
      <w:tblStyleColBandSize w:val="1"/>
      <w:tblStyleRowBandSize w:val="1"/>
    </w:tblPr>
    <w:tcPr>
      <w:shd w:val="clear" w:color="auto" w:fill="E4E8F1" w:themeFill="accent1" w:themeFillTint="3f"/>
    </w:tcPr>
    <w:tblStylePr w:type="firstRow">
      <w:rPr>
        <w:b/>
        <w:bCs/>
      </w:rPr>
    </w:tblStylePr>
    <w:tblStylePr w:type="lastRow">
      <w:rPr>
        <w:b/>
        <w:bCs/>
      </w:rPr>
      <w:tblPr/>
      <w:tcPr>
        <w:tcBorders>
          <w:top w:val="single" w:sz="18" w:space="0" w:color="97ADD0" w:themeColor="accent1" w:themeTint="bf"/>
        </w:tcBorders>
      </w:tcPr>
    </w:tblStylePr>
    <w:tblStylePr w:type="firstCol">
      <w:rPr>
        <w:b/>
        <w:bCs/>
      </w:rPr>
    </w:tblStylePr>
    <w:tblStylePr w:type="lastCol">
      <w:rPr>
        <w:b/>
        <w:bCs/>
      </w:rPr>
    </w:tblStylePr>
    <w:tblStylePr w:type="band1Vert">
      <w:tblPr/>
      <w:tcPr>
        <w:shd w:val="clear" w:color="auto" w:fill="C2CDE1" w:themeFill="accent1" w:themeFillTint="7f"/>
      </w:tcPr>
    </w:tblStylePr>
    <w:tblStylePr w:type="band1Horz">
      <w:tblPr/>
      <w:tcPr>
        <w:shd w:val="clear" w:color="auto" w:fill="C2CDE1" w:themeFill="accent1" w:themeFillTint="7f"/>
      </w:tcPr>
    </w:tblStylePr>
  </w:style>
  <w:style w:type="table" w:styleId="MediumGrid1-Accent2">
    <w:name w:val="Medium Grid 1 Accent 2"/>
    <w:uiPriority w:val="67"/>
    <w:basedOn w:val="TableNormal"/>
    <w:pPr>
      <w:spacing w:after="0" w:line="240" w:lineRule="auto"/>
    </w:pPr>
    <w:tblPr>
      <w:tblInd w:w="0" w:type="dxa"/>
      <w:tblBorders>
        <w:top w:val="single" w:sz="8" w:space="0" w:color="D29897" w:themeColor="accent2" w:themeTint="bf"/>
        <w:left w:val="single" w:sz="8" w:space="0" w:color="D29897" w:themeColor="accent2" w:themeTint="bf"/>
        <w:bottom w:val="single" w:sz="8" w:space="0" w:color="D29897" w:themeColor="accent2" w:themeTint="bf"/>
        <w:right w:val="single" w:sz="8" w:space="0" w:color="D29897" w:themeColor="accent2" w:themeTint="bf"/>
        <w:insideH w:val="single" w:sz="8" w:space="0" w:color="D29897" w:themeColor="accent2" w:themeTint="bf"/>
        <w:insideV w:val="single" w:sz="8" w:space="0" w:color="D29897" w:themeColor="accent2" w:themeTint="bf"/>
      </w:tblBorders>
      <w:tblCellMar>
        <w:top w:w="0" w:type="dxa"/>
        <w:left w:w="108" w:type="dxa"/>
        <w:bottom w:w="0" w:type="dxa"/>
        <w:right w:w="108" w:type="dxa"/>
      </w:tblCellMar>
      <w:tblStyleColBandSize w:val="1"/>
      <w:tblStyleRowBandSize w:val="1"/>
    </w:tblPr>
    <w:tcPr>
      <w:shd w:val="clear" w:color="auto" w:fill="F1E4E3" w:themeFill="accent2" w:themeFillTint="3f"/>
    </w:tcPr>
    <w:tblStylePr w:type="firstRow">
      <w:rPr>
        <w:b/>
        <w:bCs/>
      </w:rPr>
    </w:tblStylePr>
    <w:tblStylePr w:type="lastRow">
      <w:rPr>
        <w:b/>
        <w:bCs/>
      </w:rPr>
      <w:tblPr/>
      <w:tcPr>
        <w:tcBorders>
          <w:top w:val="single" w:sz="18" w:space="0" w:color="D29897" w:themeColor="accent2" w:themeTint="bf"/>
        </w:tcBorders>
      </w:tcPr>
    </w:tblStylePr>
    <w:tblStylePr w:type="firstCol">
      <w:rPr>
        <w:b/>
        <w:bCs/>
      </w:rPr>
    </w:tblStylePr>
    <w:tblStylePr w:type="lastCol">
      <w:rPr>
        <w:b/>
        <w:bCs/>
      </w:rPr>
    </w:tblStylePr>
    <w:tblStylePr w:type="band1Vert">
      <w:tblPr/>
      <w:tcPr>
        <w:shd w:val="clear" w:color="auto" w:fill="E2C3C2" w:themeFill="accent2" w:themeFillTint="7f"/>
      </w:tcPr>
    </w:tblStylePr>
    <w:tblStylePr w:type="band1Horz">
      <w:tblPr/>
      <w:tcPr>
        <w:shd w:val="clear" w:color="auto" w:fill="E2C3C2" w:themeFill="accent2" w:themeFillTint="7f"/>
      </w:tcPr>
    </w:tblStylePr>
  </w:style>
  <w:style w:type="table" w:styleId="MediumGrid1-Accent3">
    <w:name w:val="Medium Grid 1 Accent 3"/>
    <w:uiPriority w:val="67"/>
    <w:basedOn w:val="TableNormal"/>
    <w:pPr>
      <w:spacing w:after="0" w:line="240" w:lineRule="auto"/>
    </w:pPr>
    <w:tblPr>
      <w:tblInd w:w="0" w:type="dxa"/>
      <w:tblBorders>
        <w:top w:val="single" w:sz="8" w:space="0" w:color="BBCF9B" w:themeColor="accent3" w:themeTint="bf"/>
        <w:left w:val="single" w:sz="8" w:space="0" w:color="BBCF9B" w:themeColor="accent3" w:themeTint="bf"/>
        <w:bottom w:val="single" w:sz="8" w:space="0" w:color="BBCF9B" w:themeColor="accent3" w:themeTint="bf"/>
        <w:right w:val="single" w:sz="8" w:space="0" w:color="BBCF9B" w:themeColor="accent3" w:themeTint="bf"/>
        <w:insideH w:val="single" w:sz="8" w:space="0" w:color="BBCF9B" w:themeColor="accent3" w:themeTint="bf"/>
        <w:insideV w:val="single" w:sz="8" w:space="0" w:color="BBCF9B" w:themeColor="accent3" w:themeTint="bf"/>
      </w:tblBorders>
      <w:tblCellMar>
        <w:top w:w="0" w:type="dxa"/>
        <w:left w:w="108" w:type="dxa"/>
        <w:bottom w:w="0" w:type="dxa"/>
        <w:right w:w="108" w:type="dxa"/>
      </w:tblCellMar>
      <w:tblStyleColBandSize w:val="1"/>
      <w:tblStyleRowBandSize w:val="1"/>
    </w:tblPr>
    <w:tcPr>
      <w:shd w:val="clear" w:color="auto" w:fill="EBF0E4" w:themeFill="accent3" w:themeFillTint="3f"/>
    </w:tcPr>
    <w:tblStylePr w:type="firstRow">
      <w:rPr>
        <w:b/>
        <w:bCs/>
      </w:rPr>
    </w:tblStylePr>
    <w:tblStylePr w:type="lastRow">
      <w:rPr>
        <w:b/>
        <w:bCs/>
      </w:rPr>
      <w:tblPr/>
      <w:tcPr>
        <w:tcBorders>
          <w:top w:val="single" w:sz="18" w:space="0" w:color="BBCF9B" w:themeColor="accent3" w:themeTint="bf"/>
        </w:tcBorders>
      </w:tcPr>
    </w:tblStylePr>
    <w:tblStylePr w:type="firstCol">
      <w:rPr>
        <w:b/>
        <w:bCs/>
      </w:rPr>
    </w:tblStylePr>
    <w:tblStylePr w:type="lastCol">
      <w:rPr>
        <w:b/>
        <w:bCs/>
      </w:rPr>
    </w:tblStylePr>
    <w:tblStylePr w:type="band1Vert">
      <w:tblPr/>
      <w:tcPr>
        <w:shd w:val="clear" w:color="auto" w:fill="D5E0C4" w:themeFill="accent3" w:themeFillTint="7f"/>
      </w:tcPr>
    </w:tblStylePr>
    <w:tblStylePr w:type="band1Horz">
      <w:tblPr/>
      <w:tcPr>
        <w:shd w:val="clear" w:color="auto" w:fill="D5E0C4" w:themeFill="accent3" w:themeFillTint="7f"/>
      </w:tcPr>
    </w:tblStylePr>
  </w:style>
  <w:style w:type="table" w:styleId="MediumGrid1-Accent4">
    <w:name w:val="Medium Grid 1 Accent 4"/>
    <w:uiPriority w:val="67"/>
    <w:basedOn w:val="TableNormal"/>
    <w:pPr>
      <w:spacing w:after="0" w:line="240" w:lineRule="auto"/>
    </w:pPr>
    <w:tblPr>
      <w:tblInd w:w="0" w:type="dxa"/>
      <w:tblBorders>
        <w:top w:val="single" w:sz="8" w:space="0" w:color="AC9FBF" w:themeColor="accent4" w:themeTint="bf"/>
        <w:left w:val="single" w:sz="8" w:space="0" w:color="AC9FBF" w:themeColor="accent4" w:themeTint="bf"/>
        <w:bottom w:val="single" w:sz="8" w:space="0" w:color="AC9FBF" w:themeColor="accent4" w:themeTint="bf"/>
        <w:right w:val="single" w:sz="8" w:space="0" w:color="AC9FBF" w:themeColor="accent4" w:themeTint="bf"/>
        <w:insideH w:val="single" w:sz="8" w:space="0" w:color="AC9FBF" w:themeColor="accent4" w:themeTint="bf"/>
        <w:insideV w:val="single" w:sz="8" w:space="0" w:color="AC9FBF" w:themeColor="accent4" w:themeTint="bf"/>
      </w:tblBorders>
      <w:tblCellMar>
        <w:top w:w="0" w:type="dxa"/>
        <w:left w:w="108" w:type="dxa"/>
        <w:bottom w:w="0" w:type="dxa"/>
        <w:right w:w="108" w:type="dxa"/>
      </w:tblCellMar>
      <w:tblStyleColBandSize w:val="1"/>
      <w:tblStyleRowBandSize w:val="1"/>
    </w:tblPr>
    <w:tcPr>
      <w:shd w:val="clear" w:color="auto" w:fill="E8E5EC" w:themeFill="accent4" w:themeFillTint="3f"/>
    </w:tcPr>
    <w:tblStylePr w:type="firstRow">
      <w:rPr>
        <w:b/>
        <w:bCs/>
      </w:rPr>
    </w:tblStylePr>
    <w:tblStylePr w:type="lastRow">
      <w:rPr>
        <w:b/>
        <w:bCs/>
      </w:rPr>
      <w:tblPr/>
      <w:tcPr>
        <w:tcBorders>
          <w:top w:val="single" w:sz="18" w:space="0" w:color="AC9FBF" w:themeColor="accent4" w:themeTint="bf"/>
        </w:tcBorders>
      </w:tcPr>
    </w:tblStylePr>
    <w:tblStylePr w:type="firstCol">
      <w:rPr>
        <w:b/>
        <w:bCs/>
      </w:rPr>
    </w:tblStylePr>
    <w:tblStylePr w:type="lastCol">
      <w:rPr>
        <w:b/>
        <w:bCs/>
      </w:rPr>
    </w:tblStylePr>
    <w:tblStylePr w:type="band1Vert">
      <w:tblPr/>
      <w:tcPr>
        <w:shd w:val="clear" w:color="auto" w:fill="CDC6D7" w:themeFill="accent4" w:themeFillTint="7f"/>
      </w:tcPr>
    </w:tblStylePr>
    <w:tblStylePr w:type="band1Horz">
      <w:tblPr/>
      <w:tcPr>
        <w:shd w:val="clear" w:color="auto" w:fill="CDC6D7" w:themeFill="accent4" w:themeFillTint="7f"/>
      </w:tcPr>
    </w:tblStylePr>
  </w:style>
  <w:style w:type="table" w:styleId="MediumGrid1-Accent5">
    <w:name w:val="Medium Grid 1 Accent 5"/>
    <w:uiPriority w:val="67"/>
    <w:basedOn w:val="TableNormal"/>
    <w:pPr>
      <w:spacing w:after="0" w:line="240" w:lineRule="auto"/>
    </w:pPr>
    <w:tblPr>
      <w:tblInd w:w="0" w:type="dxa"/>
      <w:tblBorders>
        <w:top w:val="single" w:sz="8" w:space="0" w:color="96C5D6" w:themeColor="accent5" w:themeTint="bf"/>
        <w:left w:val="single" w:sz="8" w:space="0" w:color="96C5D6" w:themeColor="accent5" w:themeTint="bf"/>
        <w:bottom w:val="single" w:sz="8" w:space="0" w:color="96C5D6" w:themeColor="accent5" w:themeTint="bf"/>
        <w:right w:val="single" w:sz="8" w:space="0" w:color="96C5D6" w:themeColor="accent5" w:themeTint="bf"/>
        <w:insideH w:val="single" w:sz="8" w:space="0" w:color="96C5D6" w:themeColor="accent5" w:themeTint="bf"/>
        <w:insideV w:val="single" w:sz="8" w:space="0" w:color="96C5D6" w:themeColor="accent5" w:themeTint="bf"/>
      </w:tblBorders>
      <w:tblCellMar>
        <w:top w:w="0" w:type="dxa"/>
        <w:left w:w="108" w:type="dxa"/>
        <w:bottom w:w="0" w:type="dxa"/>
        <w:right w:w="108" w:type="dxa"/>
      </w:tblCellMar>
      <w:tblStyleColBandSize w:val="1"/>
      <w:tblStyleRowBandSize w:val="1"/>
    </w:tblPr>
    <w:tcPr>
      <w:shd w:val="clear" w:color="auto" w:fill="E3EEF3" w:themeFill="accent5" w:themeFillTint="3f"/>
    </w:tcPr>
    <w:tblStylePr w:type="firstRow">
      <w:rPr>
        <w:b/>
        <w:bCs/>
      </w:rPr>
    </w:tblStylePr>
    <w:tblStylePr w:type="lastRow">
      <w:rPr>
        <w:b/>
        <w:bCs/>
      </w:rPr>
      <w:tblPr/>
      <w:tcPr>
        <w:tcBorders>
          <w:top w:val="single" w:sz="18" w:space="0" w:color="96C5D6" w:themeColor="accent5" w:themeTint="bf"/>
        </w:tcBorders>
      </w:tcPr>
    </w:tblStylePr>
    <w:tblStylePr w:type="firstCol">
      <w:rPr>
        <w:b/>
        <w:bCs/>
      </w:rPr>
    </w:tblStylePr>
    <w:tblStylePr w:type="lastCol">
      <w:rPr>
        <w:b/>
        <w:bCs/>
      </w:rPr>
    </w:tblStylePr>
    <w:tblStylePr w:type="band1Vert">
      <w:tblPr/>
      <w:tcPr>
        <w:shd w:val="clear" w:color="auto" w:fill="C2DBE5" w:themeFill="accent5" w:themeFillTint="7f"/>
      </w:tcPr>
    </w:tblStylePr>
    <w:tblStylePr w:type="band1Horz">
      <w:tblPr/>
      <w:tcPr>
        <w:shd w:val="clear" w:color="auto" w:fill="C2DBE5" w:themeFill="accent5" w:themeFillTint="7f"/>
      </w:tcPr>
    </w:tblStylePr>
  </w:style>
  <w:style w:type="table" w:styleId="MediumGrid1-Accent6">
    <w:name w:val="Medium Grid 1 Accent 6"/>
    <w:uiPriority w:val="67"/>
    <w:basedOn w:val="TableNormal"/>
    <w:pPr>
      <w:spacing w:after="0" w:line="240" w:lineRule="auto"/>
    </w:pPr>
    <w:tblPr>
      <w:tblInd w:w="0" w:type="dxa"/>
      <w:tblBorders>
        <w:top w:val="single" w:sz="8" w:space="0" w:color="F9B895" w:themeColor="accent6" w:themeTint="bf"/>
        <w:left w:val="single" w:sz="8" w:space="0" w:color="F9B895" w:themeColor="accent6" w:themeTint="bf"/>
        <w:bottom w:val="single" w:sz="8" w:space="0" w:color="F9B895" w:themeColor="accent6" w:themeTint="bf"/>
        <w:right w:val="single" w:sz="8" w:space="0" w:color="F9B895" w:themeColor="accent6" w:themeTint="bf"/>
        <w:insideH w:val="single" w:sz="8" w:space="0" w:color="F9B895" w:themeColor="accent6" w:themeTint="bf"/>
        <w:insideV w:val="single" w:sz="8" w:space="0" w:color="F9B895" w:themeColor="accent6" w:themeTint="bf"/>
      </w:tblBorders>
      <w:tblCellMar>
        <w:top w:w="0" w:type="dxa"/>
        <w:left w:w="108" w:type="dxa"/>
        <w:bottom w:w="0" w:type="dxa"/>
        <w:right w:w="108" w:type="dxa"/>
      </w:tblCellMar>
      <w:tblStyleColBandSize w:val="1"/>
      <w:tblStyleRowBandSize w:val="1"/>
    </w:tblPr>
    <w:tcPr>
      <w:shd w:val="clear" w:color="auto" w:fill="FDEBE3" w:themeFill="accent6" w:themeFillTint="3f"/>
    </w:tcPr>
    <w:tblStylePr w:type="firstRow">
      <w:rPr>
        <w:b/>
        <w:bCs/>
      </w:rPr>
    </w:tblStylePr>
    <w:tblStylePr w:type="lastRow">
      <w:rPr>
        <w:b/>
        <w:bCs/>
      </w:rPr>
      <w:tblPr/>
      <w:tcPr>
        <w:tcBorders>
          <w:top w:val="single" w:sz="18" w:space="0" w:color="F9B895" w:themeColor="accent6" w:themeTint="bf"/>
        </w:tcBorders>
      </w:tcPr>
    </w:tblStylePr>
    <w:tblStylePr w:type="firstCol">
      <w:rPr>
        <w:b/>
        <w:bCs/>
      </w:rPr>
    </w:tblStylePr>
    <w:tblStylePr w:type="lastCol">
      <w:rPr>
        <w:b/>
        <w:bCs/>
      </w:rPr>
    </w:tblStylePr>
    <w:tblStylePr w:type="band1Vert">
      <w:tblPr/>
      <w:tcPr>
        <w:shd w:val="clear" w:color="auto" w:fill="FBD3C1" w:themeFill="accent6" w:themeFillTint="7f"/>
      </w:tcPr>
    </w:tblStylePr>
    <w:tblStylePr w:type="band1Horz">
      <w:tblPr/>
      <w:tcPr>
        <w:shd w:val="clear" w:color="auto" w:fill="FBD3C1" w:themeFill="accent6" w:themeFillTint="7f"/>
      </w:tcPr>
    </w:tblStylePr>
  </w:style>
  <w:style w:type="table" w:styleId="MediumGrid2">
    <w:name w:val="Medium Grid 2"/>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StyleColBandSize w:val="1"/>
      <w:tblStyleRowBandSize w:val="1"/>
    </w:tblPr>
    <w:tcPr>
      <w:shd w:val="clear" w:color="auto" w:fill="E1E1E1" w:themeFill="text1" w:themeFillTint="3f"/>
    </w:tcPr>
    <w:tblStylePr w:type="firstRow">
      <w:rPr>
        <w:b/>
        <w:bCs/>
        <w:color w:val="000000"/>
      </w:rPr>
      <w:tblPr/>
      <w:tcPr>
        <w:shd w:val="clear" w:color="auto" w:fill="F4F4F4"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7E7E7" w:themeFill="text1" w:themeFillTint="33"/>
      </w:tcPr>
    </w:tblStylePr>
    <w:tblStylePr w:type="band1Vert">
      <w:tblPr/>
      <w:tcPr>
        <w:shd w:val="clear" w:color="auto" w:fill="BDBDBD" w:themeFill="text1" w:themeFillTint="7f"/>
      </w:tcPr>
    </w:tblStylePr>
    <w:tblStylePr w:type="band1Horz">
      <w:tblPr/>
      <w:tcPr>
        <w:tcBorders>
          <w:insideH w:val="single" w:sz="6" w:space="0" w:color="000000" w:themeColor="text1"/>
          <w:insideV w:val="single" w:sz="6" w:space="0" w:color="000000" w:themeColor="text1"/>
        </w:tcBorders>
        <w:shd w:val="clear" w:color="auto" w:fill="BDBDBD" w:themeFill="text1" w:themeFillTint="7f"/>
      </w:tcPr>
    </w:tblStylePr>
    <w:tblStylePr w:type="nwCell">
      <w:tblPr/>
      <w:tcPr>
        <w:shd w:val="clear" w:color="auto" w:fill="FFFFFF" w:themeFill="background1"/>
      </w:tcPr>
    </w:tblStylePr>
  </w:style>
  <w:style w:type="table" w:styleId="MediumGrid2-Accent1">
    <w:name w:val="Medium Grid 2 Accent 1"/>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StyleColBandSize w:val="1"/>
      <w:tblStyleRowBandSize w:val="1"/>
    </w:tblPr>
    <w:tcPr>
      <w:shd w:val="clear" w:color="auto" w:fill="E4E8F1" w:themeFill="accent1" w:themeFillTint="3f"/>
    </w:tcPr>
    <w:tblStylePr w:type="firstRow">
      <w:rPr>
        <w:b/>
        <w:bCs/>
        <w:color w:val="000000"/>
      </w:rPr>
      <w:tblPr/>
      <w:tcPr>
        <w:shd w:val="clear" w:color="auto" w:fill="F5F6FA" w:themeFill="accen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9EDF4" w:themeFill="accent1" w:themeFillTint="33"/>
      </w:tcPr>
    </w:tblStylePr>
    <w:tblStylePr w:type="band1Vert">
      <w:tblPr/>
      <w:tcPr>
        <w:shd w:val="clear" w:color="auto" w:fill="C2CDE1" w:themeFill="accent1" w:themeFillTint="7f"/>
      </w:tcPr>
    </w:tblStylePr>
    <w:tblStylePr w:type="band1Horz">
      <w:tblPr/>
      <w:tcPr>
        <w:tcBorders>
          <w:insideH w:val="single" w:sz="6" w:space="0" w:color="4F81BD" w:themeColor="accent1"/>
          <w:insideV w:val="single" w:sz="6" w:space="0" w:color="4F81BD" w:themeColor="accent1"/>
        </w:tcBorders>
        <w:shd w:val="clear" w:color="auto" w:fill="C2CDE1" w:themeFill="accent1" w:themeFillTint="7f"/>
      </w:tcPr>
    </w:tblStylePr>
    <w:tblStylePr w:type="nwCell">
      <w:tblPr/>
      <w:tcPr>
        <w:shd w:val="clear" w:color="auto" w:fill="FFFFFF" w:themeFill="background1"/>
      </w:tcPr>
    </w:tblStylePr>
  </w:style>
  <w:style w:type="table" w:styleId="MediumGrid2-Accent2">
    <w:name w:val="Medium Grid 2 Accent 2"/>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StyleColBandSize w:val="1"/>
      <w:tblStyleRowBandSize w:val="1"/>
    </w:tblPr>
    <w:tcPr>
      <w:shd w:val="clear" w:color="auto" w:fill="F1E4E3" w:themeFill="accent2" w:themeFillTint="3f"/>
    </w:tcPr>
    <w:tblStylePr w:type="firstRow">
      <w:rPr>
        <w:b/>
        <w:bCs/>
        <w:color w:val="000000"/>
      </w:rPr>
      <w:tblPr/>
      <w:tcPr>
        <w:shd w:val="clear" w:color="auto" w:fill="FAF5F5" w:themeFill="accent2"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4E9E9" w:themeFill="accent2" w:themeFillTint="33"/>
      </w:tcPr>
    </w:tblStylePr>
    <w:tblStylePr w:type="band1Vert">
      <w:tblPr/>
      <w:tcPr>
        <w:shd w:val="clear" w:color="auto" w:fill="E2C3C2" w:themeFill="accent2" w:themeFillTint="7f"/>
      </w:tcPr>
    </w:tblStylePr>
    <w:tblStylePr w:type="band1Horz">
      <w:tblPr/>
      <w:tcPr>
        <w:tcBorders>
          <w:insideH w:val="single" w:sz="6" w:space="0" w:color="C0504D" w:themeColor="accent2"/>
          <w:insideV w:val="single" w:sz="6" w:space="0" w:color="C0504D" w:themeColor="accent2"/>
        </w:tcBorders>
        <w:shd w:val="clear" w:color="auto" w:fill="E2C3C2" w:themeFill="accent2" w:themeFillTint="7f"/>
      </w:tcPr>
    </w:tblStylePr>
    <w:tblStylePr w:type="nwCell">
      <w:tblPr/>
      <w:tcPr>
        <w:shd w:val="clear" w:color="auto" w:fill="FFFFFF" w:themeFill="background1"/>
      </w:tcPr>
    </w:tblStylePr>
  </w:style>
  <w:style w:type="table" w:styleId="MediumGrid2-Accent3">
    <w:name w:val="Medium Grid 2 Accent 3"/>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StyleColBandSize w:val="1"/>
      <w:tblStyleRowBandSize w:val="1"/>
    </w:tblPr>
    <w:tcPr>
      <w:shd w:val="clear" w:color="auto" w:fill="EBF0E4" w:themeFill="accent3" w:themeFillTint="3f"/>
    </w:tcPr>
    <w:tblStylePr w:type="firstRow">
      <w:rPr>
        <w:b/>
        <w:bCs/>
        <w:color w:val="000000"/>
      </w:rPr>
      <w:tblPr/>
      <w:tcPr>
        <w:shd w:val="clear" w:color="auto" w:fill="F7F9F5" w:themeFill="accent3"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FF3EA" w:themeFill="accent3" w:themeFillTint="33"/>
      </w:tcPr>
    </w:tblStylePr>
    <w:tblStylePr w:type="band1Vert">
      <w:tblPr/>
      <w:tcPr>
        <w:shd w:val="clear" w:color="auto" w:fill="D5E0C4" w:themeFill="accent3" w:themeFillTint="7f"/>
      </w:tcPr>
    </w:tblStylePr>
    <w:tblStylePr w:type="band1Horz">
      <w:tblPr/>
      <w:tcPr>
        <w:tcBorders>
          <w:insideH w:val="single" w:sz="6" w:space="0" w:color="9BBB59" w:themeColor="accent3"/>
          <w:insideV w:val="single" w:sz="6" w:space="0" w:color="9BBB59" w:themeColor="accent3"/>
        </w:tcBorders>
        <w:shd w:val="clear" w:color="auto" w:fill="D5E0C4" w:themeFill="accent3" w:themeFillTint="7f"/>
      </w:tcPr>
    </w:tblStylePr>
    <w:tblStylePr w:type="nwCell">
      <w:tblPr/>
      <w:tcPr>
        <w:shd w:val="clear" w:color="auto" w:fill="FFFFFF" w:themeFill="background1"/>
      </w:tcPr>
    </w:tblStylePr>
  </w:style>
  <w:style w:type="table" w:styleId="MediumGrid2-Accent4">
    <w:name w:val="Medium Grid 2 Accent 4"/>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StyleColBandSize w:val="1"/>
      <w:tblStyleRowBandSize w:val="1"/>
    </w:tblPr>
    <w:tcPr>
      <w:shd w:val="clear" w:color="auto" w:fill="E8E5EC" w:themeFill="accent4" w:themeFillTint="3f"/>
    </w:tcPr>
    <w:tblStylePr w:type="firstRow">
      <w:rPr>
        <w:b/>
        <w:bCs/>
        <w:color w:val="000000"/>
      </w:rPr>
      <w:tblPr/>
      <w:tcPr>
        <w:shd w:val="clear" w:color="auto" w:fill="F6F5F8" w:themeFill="accent4"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DEAF0" w:themeFill="accent4" w:themeFillTint="33"/>
      </w:tcPr>
    </w:tblStylePr>
    <w:tblStylePr w:type="band1Vert">
      <w:tblPr/>
      <w:tcPr>
        <w:shd w:val="clear" w:color="auto" w:fill="CDC6D7" w:themeFill="accent4" w:themeFillTint="7f"/>
      </w:tcPr>
    </w:tblStylePr>
    <w:tblStylePr w:type="band1Horz">
      <w:tblPr/>
      <w:tcPr>
        <w:tcBorders>
          <w:insideH w:val="single" w:sz="6" w:space="0" w:color="8064A2" w:themeColor="accent4"/>
          <w:insideV w:val="single" w:sz="6" w:space="0" w:color="8064A2" w:themeColor="accent4"/>
        </w:tcBorders>
        <w:shd w:val="clear" w:color="auto" w:fill="CDC6D7" w:themeFill="accent4" w:themeFillTint="7f"/>
      </w:tcPr>
    </w:tblStylePr>
    <w:tblStylePr w:type="nwCell">
      <w:tblPr/>
      <w:tcPr>
        <w:shd w:val="clear" w:color="auto" w:fill="FFFFFF" w:themeFill="background1"/>
      </w:tcPr>
    </w:tblStylePr>
  </w:style>
  <w:style w:type="table" w:styleId="MediumGrid2-Accent5">
    <w:name w:val="Medium Grid 2 Accent 5"/>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StyleColBandSize w:val="1"/>
      <w:tblStyleRowBandSize w:val="1"/>
    </w:tblPr>
    <w:tcPr>
      <w:shd w:val="clear" w:color="auto" w:fill="E3EEF3" w:themeFill="accent5" w:themeFillTint="3f"/>
    </w:tcPr>
    <w:tblStylePr w:type="firstRow">
      <w:rPr>
        <w:b/>
        <w:bCs/>
        <w:color w:val="000000"/>
      </w:rPr>
      <w:tblPr/>
      <w:tcPr>
        <w:shd w:val="clear" w:color="auto" w:fill="F5F8FA" w:themeFill="accent5"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E9F1F5" w:themeFill="accent5" w:themeFillTint="33"/>
      </w:tcPr>
    </w:tblStylePr>
    <w:tblStylePr w:type="band1Vert">
      <w:tblPr/>
      <w:tcPr>
        <w:shd w:val="clear" w:color="auto" w:fill="C2DBE5" w:themeFill="accent5" w:themeFillTint="7f"/>
      </w:tcPr>
    </w:tblStylePr>
    <w:tblStylePr w:type="band1Horz">
      <w:tblPr/>
      <w:tcPr>
        <w:tcBorders>
          <w:insideH w:val="single" w:sz="6" w:space="0" w:color="4BACC6" w:themeColor="accent5"/>
          <w:insideV w:val="single" w:sz="6" w:space="0" w:color="4BACC6" w:themeColor="accent5"/>
        </w:tcBorders>
        <w:shd w:val="clear" w:color="auto" w:fill="C2DBE5" w:themeFill="accent5" w:themeFillTint="7f"/>
      </w:tcPr>
    </w:tblStylePr>
    <w:tblStylePr w:type="nwCell">
      <w:tblPr/>
      <w:tcPr>
        <w:shd w:val="clear" w:color="auto" w:fill="FFFFFF" w:themeFill="background1"/>
      </w:tcPr>
    </w:tblStylePr>
  </w:style>
  <w:style w:type="table" w:styleId="MediumGrid2-Accent6">
    <w:name w:val="Medium Grid 2 Accent 6"/>
    <w:uiPriority w:val="68"/>
    <w:basedOn w:val="TableNormal"/>
    <w:pPr>
      <w:spacing w:after="0" w:line="240" w:lineRule="auto"/>
    </w:pPr>
    <w:rPr>
      <w:rFonts w:asciiTheme="majorHAnsi" w:eastAsiaTheme="majorEastAsia" w:hAnsiTheme="majorHAnsi" w:cstheme="majorBidi"/>
      <w:color w:val="000000"/>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StyleColBandSize w:val="1"/>
      <w:tblStyleRowBandSize w:val="1"/>
    </w:tblPr>
    <w:tcPr>
      <w:shd w:val="clear" w:color="auto" w:fill="FDEBE3" w:themeFill="accent6" w:themeFillTint="3f"/>
    </w:tcPr>
    <w:tblStylePr w:type="firstRow">
      <w:rPr>
        <w:b/>
        <w:bCs/>
        <w:color w:val="000000"/>
      </w:rPr>
      <w:tblPr/>
      <w:tcPr>
        <w:shd w:val="clear" w:color="auto" w:fill="FEF7F4" w:themeFill="accent6"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FDEFE9" w:themeFill="accent6" w:themeFillTint="33"/>
      </w:tcPr>
    </w:tblStylePr>
    <w:tblStylePr w:type="band1Vert">
      <w:tblPr/>
      <w:tcPr>
        <w:shd w:val="clear" w:color="auto" w:fill="FBD3C1" w:themeFill="accent6" w:themeFillTint="7f"/>
      </w:tcPr>
    </w:tblStylePr>
    <w:tblStylePr w:type="band1Horz">
      <w:tblPr/>
      <w:tcPr>
        <w:tcBorders>
          <w:insideH w:val="single" w:sz="6" w:space="0" w:color="F79646" w:themeColor="accent6"/>
          <w:insideV w:val="single" w:sz="6" w:space="0" w:color="F79646" w:themeColor="accent6"/>
        </w:tcBorders>
        <w:shd w:val="clear" w:color="auto" w:fill="FBD3C1" w:themeFill="accent6" w:themeFillTint="7f"/>
      </w:tcPr>
    </w:tblStylePr>
    <w:tblStylePr w:type="nwCell">
      <w:tblPr/>
      <w:tcPr>
        <w:shd w:val="clear" w:color="auto" w:fill="FFFFFF" w:themeFill="background1"/>
      </w:tcPr>
    </w:tblStylePr>
  </w:style>
  <w:style w:type="table" w:styleId="MediumGrid3">
    <w:name w:val="Medium Grid 3"/>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1E1E1" w:themeFill="text1"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DBDB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DBDBD" w:themeFill="text1" w:themeFillTint="7f"/>
      </w:tcPr>
    </w:tblStylePr>
  </w:style>
  <w:style w:type="table" w:styleId="MediumGrid3-Accent1">
    <w:name w:val="Medium Grid 3 Accent 1"/>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4E8F1" w:themeFill="accent1"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CD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CDE1" w:themeFill="accent1" w:themeFillTint="7f"/>
      </w:tcPr>
    </w:tblStylePr>
  </w:style>
  <w:style w:type="table" w:styleId="MediumGrid3-Accent2">
    <w:name w:val="Medium Grid 3 Accent 2"/>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F1E4E3" w:themeFill="accent2"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C3C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C3C2" w:themeFill="accent2" w:themeFillTint="7f"/>
      </w:tcPr>
    </w:tblStylePr>
  </w:style>
  <w:style w:type="table" w:styleId="MediumGrid3-Accent3">
    <w:name w:val="Medium Grid 3 Accent 3"/>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BF0E4" w:themeFill="accent3"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0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0C4" w:themeFill="accent3" w:themeFillTint="7f"/>
      </w:tcPr>
    </w:tblStylePr>
  </w:style>
  <w:style w:type="table" w:styleId="MediumGrid3-Accent4">
    <w:name w:val="Medium Grid 3 Accent 4"/>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8E5EC" w:themeFill="accent4"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6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6D7" w:themeFill="accent4" w:themeFillTint="7f"/>
      </w:tcPr>
    </w:tblStylePr>
  </w:style>
  <w:style w:type="table" w:styleId="MediumGrid3-Accent5">
    <w:name w:val="Medium Grid 3 Accent 5"/>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E3EEF3" w:themeFill="accent5"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BE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BE5" w:themeFill="accent5" w:themeFillTint="7f"/>
      </w:tcPr>
    </w:tblStylePr>
  </w:style>
  <w:style w:type="table" w:styleId="MediumGrid3-Accent6">
    <w:name w:val="Medium Grid 3 Accent 6"/>
    <w:uiPriority w:val="69"/>
    <w:basedOn w:val="TableNormal"/>
    <w:pPr>
      <w:spacing w:after="0" w:line="240" w:lineRule="auto"/>
    </w:pPr>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StyleColBandSize w:val="1"/>
      <w:tblStyleRowBandSize w:val="1"/>
    </w:tblPr>
    <w:tcPr>
      <w:shd w:val="clear" w:color="auto" w:fill="FDEBE3" w:themeFill="accent6" w:themeFillTint="3f"/>
    </w:tcPr>
    <w:tblStylePr w:type="firstRow">
      <w:rPr>
        <w:b/>
        <w:bCs/>
        <w:i w:val="0"/>
        <w:iCs w:val="0"/>
        <w:color w:val="FFFFFF"/>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D3C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D3C1" w:themeFill="accent6" w:themeFillTint="7f"/>
      </w:tcPr>
    </w:tblStylePr>
  </w:style>
  <w:style w:type="table" w:styleId="DarkList">
    <w:name w:val="Dark List"/>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406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7609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76092" w:themeFill="accent1" w:themeFillShade="bf"/>
      </w:tcPr>
    </w:tblStylePr>
    <w:tblStylePr w:type="band1Vert">
      <w:tblPr/>
      <w:tcPr>
        <w:tcBorders>
          <w:top w:val="nil"/>
          <w:left w:val="nil"/>
          <w:bottom w:val="nil"/>
          <w:right w:val="nil"/>
          <w:insideH w:val="nil"/>
          <w:insideV w:val="nil"/>
        </w:tcBorders>
        <w:shd w:val="clear" w:color="auto" w:fill="376092" w:themeFill="accent1" w:themeFillShade="bf"/>
      </w:tcPr>
    </w:tblStylePr>
    <w:tblStylePr w:type="band1Horz">
      <w:tblPr/>
      <w:tcPr>
        <w:tcBorders>
          <w:top w:val="nil"/>
          <w:left w:val="nil"/>
          <w:bottom w:val="nil"/>
          <w:right w:val="nil"/>
          <w:insideH w:val="nil"/>
          <w:insideV w:val="nil"/>
        </w:tcBorders>
        <w:shd w:val="clear" w:color="auto" w:fill="376092" w:themeFill="accent1" w:themeFillShade="bf"/>
      </w:tcPr>
    </w:tblStylePr>
  </w:style>
  <w:style w:type="table" w:styleId="DarkList-Accent2">
    <w:name w:val="Dark List Accent 2"/>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25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3735"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3735" w:themeFill="accent2" w:themeFillShade="bf"/>
      </w:tcPr>
    </w:tblStylePr>
    <w:tblStylePr w:type="band1Vert">
      <w:tblPr/>
      <w:tcPr>
        <w:tcBorders>
          <w:top w:val="nil"/>
          <w:left w:val="nil"/>
          <w:bottom w:val="nil"/>
          <w:right w:val="nil"/>
          <w:insideH w:val="nil"/>
          <w:insideV w:val="nil"/>
        </w:tcBorders>
        <w:shd w:val="clear" w:color="auto" w:fill="953735" w:themeFill="accent2" w:themeFillShade="bf"/>
      </w:tcPr>
    </w:tblStylePr>
    <w:tblStylePr w:type="band1Horz">
      <w:tblPr/>
      <w:tcPr>
        <w:tcBorders>
          <w:top w:val="nil"/>
          <w:left w:val="nil"/>
          <w:bottom w:val="nil"/>
          <w:right w:val="nil"/>
          <w:insideH w:val="nil"/>
          <w:insideV w:val="nil"/>
        </w:tcBorders>
        <w:shd w:val="clear" w:color="auto" w:fill="953735" w:themeFill="accent2" w:themeFillShade="bf"/>
      </w:tcPr>
    </w:tblStylePr>
  </w:style>
  <w:style w:type="table" w:styleId="DarkList-Accent3">
    <w:name w:val="Dark List Accent 3"/>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62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3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33C" w:themeFill="accent3" w:themeFillShade="bf"/>
      </w:tcPr>
    </w:tblStylePr>
    <w:tblStylePr w:type="band1Vert">
      <w:tblPr/>
      <w:tcPr>
        <w:tcBorders>
          <w:top w:val="nil"/>
          <w:left w:val="nil"/>
          <w:bottom w:val="nil"/>
          <w:right w:val="nil"/>
          <w:insideH w:val="nil"/>
          <w:insideV w:val="nil"/>
        </w:tcBorders>
        <w:shd w:val="clear" w:color="auto" w:fill="76933C" w:themeFill="accent3" w:themeFillShade="bf"/>
      </w:tcPr>
    </w:tblStylePr>
    <w:tblStylePr w:type="band1Horz">
      <w:tblPr/>
      <w:tcPr>
        <w:tcBorders>
          <w:top w:val="nil"/>
          <w:left w:val="nil"/>
          <w:bottom w:val="nil"/>
          <w:right w:val="nil"/>
          <w:insideH w:val="nil"/>
          <w:insideV w:val="nil"/>
        </w:tcBorders>
        <w:shd w:val="clear" w:color="auto" w:fill="76933C" w:themeFill="accent3" w:themeFillShade="bf"/>
      </w:tcPr>
    </w:tblStylePr>
  </w:style>
  <w:style w:type="table" w:styleId="DarkList-Accent4">
    <w:name w:val="Dark List Accent 4"/>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31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04A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04A7B" w:themeFill="accent4" w:themeFillShade="bf"/>
      </w:tcPr>
    </w:tblStylePr>
    <w:tblStylePr w:type="band1Vert">
      <w:tblPr/>
      <w:tcPr>
        <w:tcBorders>
          <w:top w:val="nil"/>
          <w:left w:val="nil"/>
          <w:bottom w:val="nil"/>
          <w:right w:val="nil"/>
          <w:insideH w:val="nil"/>
          <w:insideV w:val="nil"/>
        </w:tcBorders>
        <w:shd w:val="clear" w:color="auto" w:fill="604A7B" w:themeFill="accent4" w:themeFillShade="bf"/>
      </w:tcPr>
    </w:tblStylePr>
    <w:tblStylePr w:type="band1Horz">
      <w:tblPr/>
      <w:tcPr>
        <w:tcBorders>
          <w:top w:val="nil"/>
          <w:left w:val="nil"/>
          <w:bottom w:val="nil"/>
          <w:right w:val="nil"/>
          <w:insideH w:val="nil"/>
          <w:insideV w:val="nil"/>
        </w:tcBorders>
        <w:shd w:val="clear" w:color="auto" w:fill="604A7B" w:themeFill="accent4" w:themeFillShade="bf"/>
      </w:tcPr>
    </w:tblStylePr>
  </w:style>
  <w:style w:type="table" w:styleId="DarkList-Accent5">
    <w:name w:val="Dark List Accent 5"/>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5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59B" w:themeFill="accent5" w:themeFillShade="bf"/>
      </w:tcPr>
    </w:tblStylePr>
    <w:tblStylePr w:type="band1Vert">
      <w:tblPr/>
      <w:tcPr>
        <w:tcBorders>
          <w:top w:val="nil"/>
          <w:left w:val="nil"/>
          <w:bottom w:val="nil"/>
          <w:right w:val="nil"/>
          <w:insideH w:val="nil"/>
          <w:insideV w:val="nil"/>
        </w:tcBorders>
        <w:shd w:val="clear" w:color="auto" w:fill="31859B" w:themeFill="accent5" w:themeFillShade="bf"/>
      </w:tcPr>
    </w:tblStylePr>
    <w:tblStylePr w:type="band1Horz">
      <w:tblPr/>
      <w:tcPr>
        <w:tcBorders>
          <w:top w:val="nil"/>
          <w:left w:val="nil"/>
          <w:bottom w:val="nil"/>
          <w:right w:val="nil"/>
          <w:insideH w:val="nil"/>
          <w:insideV w:val="nil"/>
        </w:tcBorders>
        <w:shd w:val="clear" w:color="auto" w:fill="31859B" w:themeFill="accent5" w:themeFillShade="bf"/>
      </w:tcPr>
    </w:tblStylePr>
  </w:style>
  <w:style w:type="table" w:styleId="DarkList-Accent6">
    <w:name w:val="Dark List Accent 6"/>
    <w:uiPriority w:val="70"/>
    <w:basedOn w:val="TableNormal"/>
    <w:pPr>
      <w:spacing w:after="0" w:line="240" w:lineRule="auto"/>
    </w:pPr>
    <w:rPr>
      <w:color w:val="FFFFFF"/>
    </w:rPr>
    <w:tblPr>
      <w:tblInd w:w="0" w:type="dxa"/>
      <w:tblCellMar>
        <w:top w:w="0" w:type="dxa"/>
        <w:left w:w="108" w:type="dxa"/>
        <w:bottom w:w="0" w:type="dxa"/>
        <w:right w:w="108" w:type="dxa"/>
      </w:tblCellMar>
      <w:tblStyleColBandSize w:val="1"/>
      <w:tblStyleRow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8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4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46C0A" w:themeFill="accent6" w:themeFillShade="bf"/>
      </w:tcPr>
    </w:tblStylePr>
    <w:tblStylePr w:type="band1Vert">
      <w:tblPr/>
      <w:tcPr>
        <w:tcBorders>
          <w:top w:val="nil"/>
          <w:left w:val="nil"/>
          <w:bottom w:val="nil"/>
          <w:right w:val="nil"/>
          <w:insideH w:val="nil"/>
          <w:insideV w:val="nil"/>
        </w:tcBorders>
        <w:shd w:val="clear" w:color="auto" w:fill="E46C0A" w:themeFill="accent6" w:themeFillShade="bf"/>
      </w:tcPr>
    </w:tblStylePr>
    <w:tblStylePr w:type="band1Horz">
      <w:tblPr/>
      <w:tcPr>
        <w:tcBorders>
          <w:top w:val="nil"/>
          <w:left w:val="nil"/>
          <w:bottom w:val="nil"/>
          <w:right w:val="nil"/>
          <w:insideH w:val="nil"/>
          <w:insideV w:val="nil"/>
        </w:tcBorders>
        <w:shd w:val="clear" w:color="auto" w:fill="E46C0A" w:themeFill="accent6" w:themeFillShade="bf"/>
      </w:tcPr>
    </w:tblStylePr>
  </w:style>
  <w:style w:type="table" w:styleId="ColorfulShading">
    <w:name w:val="Colorful Shading"/>
    <w:uiPriority w:val="71"/>
    <w:basedOn w:val="TableNormal"/>
    <w:pPr>
      <w:spacing w:after="0" w:line="240" w:lineRule="auto"/>
    </w:pPr>
    <w:rPr>
      <w:color w:val="000000"/>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4F4F4"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000000" w:themeFill="text1" w:themeFillShade="99"/>
      </w:tcPr>
    </w:tblStylePr>
    <w:tblStylePr w:type="firstCol">
      <w:rPr>
        <w:color w:val="FFFFFF"/>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CCCCCC" w:themeFill="text1" w:themeFillTint="66"/>
      </w:tcPr>
    </w:tblStylePr>
    <w:tblStylePr w:type="band1Horz">
      <w:tblPr/>
      <w:tcPr>
        <w:shd w:val="clear" w:color="auto" w:fill="BDBDBD" w:themeFill="text1" w:themeFillTint="7f"/>
      </w:tcPr>
    </w:tblStylePr>
    <w:tblStylePr w:type="neCell">
      <w:rPr>
        <w:color w:val="000000"/>
      </w:rPr>
    </w:tblStylePr>
    <w:tblStylePr w:type="nwCell">
      <w:rPr>
        <w:color w:val="000000"/>
      </w:rPr>
    </w:tblStylePr>
  </w:style>
  <w:style w:type="table" w:styleId="ColorfulShading-Accent1">
    <w:name w:val="Colorful Shading Accent 1"/>
    <w:uiPriority w:val="71"/>
    <w:basedOn w:val="TableNormal"/>
    <w:pPr>
      <w:spacing w:after="0" w:line="240" w:lineRule="auto"/>
    </w:pPr>
    <w:rPr>
      <w:color w:val="000000"/>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5F6FA"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2C4D75" w:themeFill="accent1" w:themeFillShade="99"/>
      </w:tcPr>
    </w:tblStylePr>
    <w:tblStylePr w:type="firstCol">
      <w:rPr>
        <w:color w:val="FFFFFF"/>
      </w:rPr>
      <w:tblPr/>
      <w:tcPr>
        <w:tcBorders>
          <w:top w:val="nil"/>
          <w:left w:val="nil"/>
          <w:bottom w:val="nil"/>
          <w:right w:val="nil"/>
          <w:insideH w:val="single" w:sz="4" w:space="0" w:color="2C4D75" w:themeColor="accent1" w:themeShade="99"/>
          <w:insideV w:val="nil"/>
        </w:tcBorders>
        <w:shd w:val="clear" w:color="auto" w:fill="2C4D75" w:themeFill="accent1" w:themeFillShade="99"/>
      </w:tcPr>
    </w:tblStylePr>
    <w:tblStylePr w:type="lastCol">
      <w:rPr>
        <w:color w:val="FFFFFF"/>
      </w:rPr>
      <w:tblPr/>
      <w:tcPr>
        <w:tcBorders>
          <w:top w:val="nil"/>
          <w:left w:val="nil"/>
          <w:bottom w:val="nil"/>
          <w:right w:val="nil"/>
          <w:insideH w:val="nil"/>
          <w:insideV w:val="nil"/>
        </w:tcBorders>
        <w:shd w:val="clear" w:color="auto" w:fill="2C4D75" w:themeFill="accent1" w:themeFillShade="99"/>
      </w:tcPr>
    </w:tblStylePr>
    <w:tblStylePr w:type="band1Vert">
      <w:tblPr/>
      <w:tcPr>
        <w:shd w:val="clear" w:color="auto" w:fill="D0D8E8" w:themeFill="accent1" w:themeFillTint="66"/>
      </w:tcPr>
    </w:tblStylePr>
    <w:tblStylePr w:type="band1Horz">
      <w:tblPr/>
      <w:tcPr>
        <w:shd w:val="clear" w:color="auto" w:fill="C2CDE1" w:themeFill="accent1" w:themeFillTint="7f"/>
      </w:tcPr>
    </w:tblStylePr>
    <w:tblStylePr w:type="neCell">
      <w:rPr>
        <w:color w:val="000000"/>
      </w:rPr>
    </w:tblStylePr>
    <w:tblStylePr w:type="nwCell">
      <w:rPr>
        <w:color w:val="000000"/>
      </w:rPr>
    </w:tblStylePr>
  </w:style>
  <w:style w:type="table" w:styleId="ColorfulShading-Accent2">
    <w:name w:val="Colorful Shading Accent 2"/>
    <w:uiPriority w:val="71"/>
    <w:basedOn w:val="TableNormal"/>
    <w:pPr>
      <w:spacing w:after="0" w:line="240" w:lineRule="auto"/>
    </w:pPr>
    <w:rPr>
      <w:color w:val="000000"/>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AF5F5"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772C2A" w:themeFill="accent2" w:themeFillShade="99"/>
      </w:tcPr>
    </w:tblStylePr>
    <w:tblStylePr w:type="firstCol">
      <w:rPr>
        <w:color w:val="FFFFFF"/>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8D0D0" w:themeFill="accent2" w:themeFillTint="66"/>
      </w:tcPr>
    </w:tblStylePr>
    <w:tblStylePr w:type="band1Horz">
      <w:tblPr/>
      <w:tcPr>
        <w:shd w:val="clear" w:color="auto" w:fill="E2C3C2" w:themeFill="accent2" w:themeFillTint="7f"/>
      </w:tcPr>
    </w:tblStylePr>
    <w:tblStylePr w:type="neCell">
      <w:rPr>
        <w:color w:val="000000"/>
      </w:rPr>
    </w:tblStylePr>
    <w:tblStylePr w:type="nwCell">
      <w:rPr>
        <w:color w:val="000000"/>
      </w:rPr>
    </w:tblStylePr>
  </w:style>
  <w:style w:type="table" w:styleId="ColorfulShading-Accent3">
    <w:name w:val="Colorful Shading Accent 3"/>
    <w:uiPriority w:val="71"/>
    <w:basedOn w:val="TableNormal"/>
    <w:pPr>
      <w:spacing w:after="0" w:line="240" w:lineRule="auto"/>
    </w:pPr>
    <w:rPr>
      <w:color w:val="000000"/>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7F9F5"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5F7530" w:themeFill="accent3" w:themeFillShade="99"/>
      </w:tcPr>
    </w:tblStylePr>
    <w:tblStylePr w:type="firstCol">
      <w:rPr>
        <w:color w:val="FFFFFF"/>
      </w:rPr>
      <w:tblPr/>
      <w:tcPr>
        <w:tcBorders>
          <w:top w:val="nil"/>
          <w:left w:val="nil"/>
          <w:bottom w:val="nil"/>
          <w:right w:val="nil"/>
          <w:insideH w:val="single" w:sz="4" w:space="0" w:color="5F7530" w:themeColor="accent3" w:themeShade="99"/>
          <w:insideV w:val="nil"/>
        </w:tcBorders>
        <w:shd w:val="clear" w:color="auto" w:fill="5F7530" w:themeFill="accent3" w:themeFillShade="99"/>
      </w:tcPr>
    </w:tblStylePr>
    <w:tblStylePr w:type="lastCol">
      <w:rPr>
        <w:color w:val="FFFFFF"/>
      </w:rPr>
      <w:tblPr/>
      <w:tcPr>
        <w:tcBorders>
          <w:top w:val="nil"/>
          <w:left w:val="nil"/>
          <w:bottom w:val="nil"/>
          <w:right w:val="nil"/>
          <w:insideH w:val="nil"/>
          <w:insideV w:val="nil"/>
        </w:tcBorders>
        <w:shd w:val="clear" w:color="auto" w:fill="5F7530" w:themeFill="accent3" w:themeFillShade="99"/>
      </w:tcPr>
    </w:tblStylePr>
    <w:tblStylePr w:type="band1Vert">
      <w:tblPr/>
      <w:tcPr>
        <w:shd w:val="clear" w:color="auto" w:fill="DEE7D1" w:themeFill="accent3" w:themeFillTint="66"/>
      </w:tcPr>
    </w:tblStylePr>
    <w:tblStylePr w:type="band1Horz">
      <w:tblPr/>
      <w:tcPr>
        <w:shd w:val="clear" w:color="auto" w:fill="D5E0C4" w:themeFill="accent3" w:themeFillTint="7f"/>
      </w:tcPr>
    </w:tblStylePr>
  </w:style>
  <w:style w:type="table" w:styleId="ColorfulShading-Accent4">
    <w:name w:val="Colorful Shading Accent 4"/>
    <w:uiPriority w:val="71"/>
    <w:basedOn w:val="TableNormal"/>
    <w:pPr>
      <w:spacing w:after="0" w:line="240" w:lineRule="auto"/>
    </w:pPr>
    <w:rPr>
      <w:color w:val="000000"/>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6F5F8"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4D3B62" w:themeFill="accent4" w:themeFillShade="99"/>
      </w:tcPr>
    </w:tblStylePr>
    <w:tblStylePr w:type="firstCol">
      <w:rPr>
        <w:color w:val="FFFFFF"/>
      </w:rPr>
      <w:tblPr/>
      <w:tcPr>
        <w:tcBorders>
          <w:top w:val="nil"/>
          <w:left w:val="nil"/>
          <w:bottom w:val="nil"/>
          <w:right w:val="nil"/>
          <w:insideH w:val="single" w:sz="4" w:space="0" w:color="4D3B62" w:themeColor="accent4" w:themeShade="99"/>
          <w:insideV w:val="nil"/>
        </w:tcBorders>
        <w:shd w:val="clear" w:color="auto" w:fill="4D3B62" w:themeFill="accent4" w:themeFillShade="99"/>
      </w:tcPr>
    </w:tblStylePr>
    <w:tblStylePr w:type="lastCol">
      <w:rPr>
        <w:color w:val="FFFFFF"/>
      </w:rPr>
      <w:tblPr/>
      <w:tcPr>
        <w:tcBorders>
          <w:top w:val="nil"/>
          <w:left w:val="nil"/>
          <w:bottom w:val="nil"/>
          <w:right w:val="nil"/>
          <w:insideH w:val="nil"/>
          <w:insideV w:val="nil"/>
        </w:tcBorders>
        <w:shd w:val="clear" w:color="auto" w:fill="4D3B62" w:themeFill="accent4" w:themeFillShade="99"/>
      </w:tcPr>
    </w:tblStylePr>
    <w:tblStylePr w:type="band1Vert">
      <w:tblPr/>
      <w:tcPr>
        <w:shd w:val="clear" w:color="auto" w:fill="D8D3E0" w:themeFill="accent4" w:themeFillTint="66"/>
      </w:tcPr>
    </w:tblStylePr>
    <w:tblStylePr w:type="band1Horz">
      <w:tblPr/>
      <w:tcPr>
        <w:shd w:val="clear" w:color="auto" w:fill="CDC6D7" w:themeFill="accent4" w:themeFillTint="7f"/>
      </w:tcPr>
    </w:tblStylePr>
    <w:tblStylePr w:type="neCell">
      <w:rPr>
        <w:color w:val="000000"/>
      </w:rPr>
    </w:tblStylePr>
    <w:tblStylePr w:type="nwCell">
      <w:rPr>
        <w:color w:val="000000"/>
      </w:rPr>
    </w:tblStylePr>
  </w:style>
  <w:style w:type="table" w:styleId="ColorfulShading-Accent5">
    <w:name w:val="Colorful Shading Accent 5"/>
    <w:uiPriority w:val="71"/>
    <w:basedOn w:val="TableNormal"/>
    <w:pPr>
      <w:spacing w:after="0" w:line="240" w:lineRule="auto"/>
    </w:pPr>
    <w:rPr>
      <w:color w:val="000000"/>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5F8FA"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276A7C" w:themeFill="accent5" w:themeFillShade="99"/>
      </w:tcPr>
    </w:tblStylePr>
    <w:tblStylePr w:type="firstCol">
      <w:rPr>
        <w:color w:val="FFFFFF"/>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D0E3EA" w:themeFill="accent5" w:themeFillTint="66"/>
      </w:tcPr>
    </w:tblStylePr>
    <w:tblStylePr w:type="band1Horz">
      <w:tblPr/>
      <w:tcPr>
        <w:shd w:val="clear" w:color="auto" w:fill="C2DBE5" w:themeFill="accent5" w:themeFillTint="7f"/>
      </w:tcPr>
    </w:tblStylePr>
    <w:tblStylePr w:type="neCell">
      <w:rPr>
        <w:color w:val="000000"/>
      </w:rPr>
    </w:tblStylePr>
    <w:tblStylePr w:type="nwCell">
      <w:rPr>
        <w:color w:val="000000"/>
      </w:rPr>
    </w:tblStylePr>
  </w:style>
  <w:style w:type="table" w:styleId="ColorfulShading-Accent6">
    <w:name w:val="Colorful Shading Accent 6"/>
    <w:uiPriority w:val="71"/>
    <w:basedOn w:val="TableNormal"/>
    <w:pPr>
      <w:spacing w:after="0" w:line="240" w:lineRule="auto"/>
    </w:pPr>
    <w:rPr>
      <w:color w:val="000000"/>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StyleColBandSize w:val="1"/>
      <w:tblStyleRowBandSize w:val="1"/>
    </w:tblPr>
    <w:tcPr>
      <w:shd w:val="clear" w:color="auto" w:fill="FEF7F4"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rPr>
      <w:tblPr/>
      <w:tcPr>
        <w:tcBorders>
          <w:top w:val="single" w:sz="6" w:space="0" w:color="FFFFFF" w:themeColor="background1"/>
        </w:tcBorders>
        <w:shd w:val="clear" w:color="auto" w:fill="B65708" w:themeFill="accent6" w:themeFillShade="99"/>
      </w:tcPr>
    </w:tblStylePr>
    <w:tblStylePr w:type="firstCol">
      <w:rPr>
        <w:color w:val="FFFFFF"/>
      </w:rPr>
      <w:tblPr/>
      <w:tcPr>
        <w:tcBorders>
          <w:top w:val="nil"/>
          <w:left w:val="nil"/>
          <w:bottom w:val="nil"/>
          <w:right w:val="nil"/>
          <w:insideH w:val="single" w:sz="4" w:space="0" w:color="B65708" w:themeColor="accent6" w:themeShade="99"/>
          <w:insideV w:val="nil"/>
        </w:tcBorders>
        <w:shd w:val="clear" w:color="auto" w:fill="B65708" w:themeFill="accent6" w:themeFillShade="99"/>
      </w:tcPr>
    </w:tblStylePr>
    <w:tblStylePr w:type="lastCol">
      <w:rPr>
        <w:color w:val="FFFFFF"/>
      </w:rPr>
      <w:tblPr/>
      <w:tcPr>
        <w:tcBorders>
          <w:top w:val="nil"/>
          <w:left w:val="nil"/>
          <w:bottom w:val="nil"/>
          <w:right w:val="nil"/>
          <w:insideH w:val="nil"/>
          <w:insideV w:val="nil"/>
        </w:tcBorders>
        <w:shd w:val="clear" w:color="auto" w:fill="B65708" w:themeFill="accent6" w:themeFillShade="99"/>
      </w:tcPr>
    </w:tblStylePr>
    <w:tblStylePr w:type="band1Vert">
      <w:tblPr/>
      <w:tcPr>
        <w:shd w:val="clear" w:color="auto" w:fill="FCDDCF" w:themeFill="accent6" w:themeFillTint="66"/>
      </w:tcPr>
    </w:tblStylePr>
    <w:tblStylePr w:type="band1Horz">
      <w:tblPr/>
      <w:tcPr>
        <w:shd w:val="clear" w:color="auto" w:fill="FBD3C1" w:themeFill="accent6" w:themeFillTint="7f"/>
      </w:tcPr>
    </w:tblStylePr>
    <w:tblStylePr w:type="neCell">
      <w:rPr>
        <w:color w:val="000000"/>
      </w:rPr>
    </w:tblStylePr>
    <w:tblStylePr w:type="nwCell">
      <w:rPr>
        <w:color w:val="000000"/>
      </w:rPr>
    </w:tblStylePr>
  </w:style>
  <w:style w:type="table" w:styleId="ColorfulList">
    <w:name w:val="Colorful List"/>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4F4F4" w:themeFill="text1" w:themeFillTint="19"/>
    </w:tcPr>
    <w:tblStylePr w:type="firstRow">
      <w:rPr>
        <w:b/>
        <w:bCs/>
        <w:color w:val="FFFFFF"/>
      </w:rPr>
      <w:tblPr/>
      <w:tcPr>
        <w:tcBorders>
          <w:bottom w:val="single" w:sz="12" w:space="0" w:color="FFFFFF" w:themeColor="background1"/>
        </w:tcBorders>
        <w:shd w:val="clear" w:color="auto" w:fill="9F3B38" w:themeFill="accent2" w:themeFillShade="cc"/>
      </w:tcPr>
    </w:tblStylePr>
    <w:tblStylePr w:type="lastRow">
      <w:rPr>
        <w:b/>
        <w:bCs/>
        <w:color w:val="9F3B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1E1" w:themeFill="text1" w:themeFillTint="3f"/>
      </w:tcPr>
    </w:tblStylePr>
    <w:tblStylePr w:type="band1Horz">
      <w:tblPr/>
      <w:tcPr>
        <w:shd w:val="clear" w:color="auto" w:fill="E7E7E7" w:themeFill="text1" w:themeFillTint="33"/>
      </w:tcPr>
    </w:tblStylePr>
  </w:style>
  <w:style w:type="table" w:styleId="ColorfulList-Accent1">
    <w:name w:val="Colorful List Accent 1"/>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5F6FA" w:themeFill="accent1" w:themeFillTint="19"/>
    </w:tcPr>
    <w:tblStylePr w:type="firstRow">
      <w:rPr>
        <w:b/>
        <w:bCs/>
        <w:color w:val="FFFFFF"/>
      </w:rPr>
      <w:tblPr/>
      <w:tcPr>
        <w:tcBorders>
          <w:bottom w:val="single" w:sz="12" w:space="0" w:color="FFFFFF" w:themeColor="background1"/>
        </w:tcBorders>
        <w:shd w:val="clear" w:color="auto" w:fill="9F3B38" w:themeFill="accent2" w:themeFillShade="cc"/>
      </w:tcPr>
    </w:tblStylePr>
    <w:tblStylePr w:type="lastRow">
      <w:rPr>
        <w:b/>
        <w:bCs/>
        <w:color w:val="9F3B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8F1" w:themeFill="accent1" w:themeFillTint="3f"/>
      </w:tcPr>
    </w:tblStylePr>
    <w:tblStylePr w:type="band1Horz">
      <w:tblPr/>
      <w:tcPr>
        <w:shd w:val="clear" w:color="auto" w:fill="E9EDF4" w:themeFill="accent1" w:themeFillTint="33"/>
      </w:tcPr>
    </w:tblStylePr>
  </w:style>
  <w:style w:type="table" w:styleId="ColorfulList-Accent2">
    <w:name w:val="Colorful List Accent 2"/>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AF5F5" w:themeFill="accent2" w:themeFillTint="19"/>
    </w:tcPr>
    <w:tblStylePr w:type="firstRow">
      <w:rPr>
        <w:b/>
        <w:bCs/>
        <w:color w:val="FFFFFF"/>
      </w:rPr>
      <w:tblPr/>
      <w:tcPr>
        <w:tcBorders>
          <w:bottom w:val="single" w:sz="12" w:space="0" w:color="FFFFFF" w:themeColor="background1"/>
        </w:tcBorders>
        <w:shd w:val="clear" w:color="auto" w:fill="9F3B38" w:themeFill="accent2" w:themeFillShade="cc"/>
      </w:tcPr>
    </w:tblStylePr>
    <w:tblStylePr w:type="lastRow">
      <w:rPr>
        <w:b/>
        <w:bCs/>
        <w:color w:val="9F3B38"/>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E4E3" w:themeFill="accent2" w:themeFillTint="3f"/>
      </w:tcPr>
    </w:tblStylePr>
    <w:tblStylePr w:type="band1Horz">
      <w:tblPr/>
      <w:tcPr>
        <w:shd w:val="clear" w:color="auto" w:fill="F4E9E9" w:themeFill="accent2" w:themeFillTint="33"/>
      </w:tcPr>
    </w:tblStylePr>
  </w:style>
  <w:style w:type="table" w:styleId="ColorfulList-Accent3">
    <w:name w:val="Colorful List Accent 3"/>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7F9F5" w:themeFill="accent3" w:themeFillTint="19"/>
    </w:tcPr>
    <w:tblStylePr w:type="firstRow">
      <w:rPr>
        <w:b/>
        <w:bCs/>
        <w:color w:val="FFFFFF"/>
      </w:rPr>
      <w:tblPr/>
      <w:tcPr>
        <w:tcBorders>
          <w:bottom w:val="single" w:sz="12" w:space="0" w:color="FFFFFF" w:themeColor="background1"/>
        </w:tcBorders>
        <w:shd w:val="clear" w:color="auto" w:fill="664F83" w:themeFill="accent4" w:themeFillShade="cc"/>
      </w:tcPr>
    </w:tblStylePr>
    <w:tblStylePr w:type="lastRow">
      <w:rPr>
        <w:b/>
        <w:bCs/>
        <w:color w:val="664F83"/>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0E4" w:themeFill="accent3" w:themeFillTint="3f"/>
      </w:tcPr>
    </w:tblStylePr>
    <w:tblStylePr w:type="band1Horz">
      <w:tblPr/>
      <w:tcPr>
        <w:shd w:val="clear" w:color="auto" w:fill="EFF3EA" w:themeFill="accent3" w:themeFillTint="33"/>
      </w:tcPr>
    </w:tblStylePr>
  </w:style>
  <w:style w:type="table" w:styleId="ColorfulList-Accent4">
    <w:name w:val="Colorful List Accent 4"/>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6F5F8" w:themeFill="accent4" w:themeFillTint="19"/>
    </w:tcPr>
    <w:tblStylePr w:type="firstRow">
      <w:rPr>
        <w:b/>
        <w:bCs/>
        <w:color w:val="FFFFFF"/>
      </w:rPr>
      <w:tblPr/>
      <w:tcPr>
        <w:tcBorders>
          <w:bottom w:val="single" w:sz="12" w:space="0" w:color="FFFFFF" w:themeColor="background1"/>
        </w:tcBorders>
        <w:shd w:val="clear" w:color="auto" w:fill="7E9D40" w:themeFill="accent3" w:themeFillShade="cc"/>
      </w:tcPr>
    </w:tblStylePr>
    <w:tblStylePr w:type="lastRow">
      <w:rPr>
        <w:b/>
        <w:bCs/>
        <w:color w:val="7E9D40"/>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5EC" w:themeFill="accent4" w:themeFillTint="3f"/>
      </w:tcPr>
    </w:tblStylePr>
    <w:tblStylePr w:type="band1Horz">
      <w:tblPr/>
      <w:tcPr>
        <w:shd w:val="clear" w:color="auto" w:fill="EDEAF0" w:themeFill="accent4" w:themeFillTint="33"/>
      </w:tcPr>
    </w:tblStylePr>
  </w:style>
  <w:style w:type="table" w:styleId="ColorfulList-Accent5">
    <w:name w:val="Colorful List Accent 5"/>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5F8FA" w:themeFill="accent5" w:themeFillTint="19"/>
    </w:tcPr>
    <w:tblStylePr w:type="firstRow">
      <w:rPr>
        <w:b/>
        <w:bCs/>
        <w:color w:val="FFFFFF"/>
      </w:rPr>
      <w:tblPr/>
      <w:tcPr>
        <w:tcBorders>
          <w:bottom w:val="single" w:sz="12" w:space="0" w:color="FFFFFF" w:themeColor="background1"/>
        </w:tcBorders>
        <w:shd w:val="clear" w:color="auto" w:fill="F3740B" w:themeFill="accent6" w:themeFillShade="cc"/>
      </w:tcPr>
    </w:tblStylePr>
    <w:tblStylePr w:type="lastRow">
      <w:rPr>
        <w:b/>
        <w:bCs/>
        <w:color w:val="F3740B"/>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EEF3" w:themeFill="accent5" w:themeFillTint="3f"/>
      </w:tcPr>
    </w:tblStylePr>
    <w:tblStylePr w:type="band1Horz">
      <w:tblPr/>
      <w:tcPr>
        <w:shd w:val="clear" w:color="auto" w:fill="E9F1F5" w:themeFill="accent5" w:themeFillTint="33"/>
      </w:tcPr>
    </w:tblStylePr>
  </w:style>
  <w:style w:type="table" w:styleId="ColorfulList-Accent6">
    <w:name w:val="Colorful List Accent 6"/>
    <w:uiPriority w:val="72"/>
    <w:basedOn w:val="TableNormal"/>
    <w:pPr>
      <w:spacing w:after="0" w:line="240" w:lineRule="auto"/>
    </w:pPr>
    <w:rPr>
      <w:color w:val="000000"/>
    </w:rPr>
    <w:tblPr>
      <w:tblInd w:w="0" w:type="dxa"/>
      <w:tblCellMar>
        <w:top w:w="0" w:type="dxa"/>
        <w:left w:w="108" w:type="dxa"/>
        <w:bottom w:w="0" w:type="dxa"/>
        <w:right w:w="108" w:type="dxa"/>
      </w:tblCellMar>
      <w:tblStyleColBandSize w:val="1"/>
      <w:tblStyleRowBandSize w:val="1"/>
    </w:tblPr>
    <w:tcPr>
      <w:shd w:val="clear" w:color="auto" w:fill="FEF7F4" w:themeFill="accent6" w:themeFillTint="19"/>
    </w:tcPr>
    <w:tblStylePr w:type="firstRow">
      <w:rPr>
        <w:b/>
        <w:bCs/>
        <w:color w:val="FFFFFF"/>
      </w:rPr>
      <w:tblPr/>
      <w:tcPr>
        <w:tcBorders>
          <w:bottom w:val="single" w:sz="12" w:space="0" w:color="FFFFFF" w:themeColor="background1"/>
        </w:tcBorders>
        <w:shd w:val="clear" w:color="auto" w:fill="358EA6" w:themeFill="accent5" w:themeFillShade="cc"/>
      </w:tcPr>
    </w:tblStylePr>
    <w:tblStylePr w:type="lastRow">
      <w:rPr>
        <w:b/>
        <w:bCs/>
        <w:color w:val="358EA6"/>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BE3" w:themeFill="accent6" w:themeFillTint="3f"/>
      </w:tcPr>
    </w:tblStylePr>
    <w:tblStylePr w:type="band1Horz">
      <w:tblPr/>
      <w:tcPr>
        <w:shd w:val="clear" w:color="auto" w:fill="FDEFE9" w:themeFill="accent6" w:themeFillTint="33"/>
      </w:tcPr>
    </w:tblStylePr>
  </w:style>
  <w:style w:type="table" w:styleId="ColorfulGrid">
    <w:name w:val="Colorful Grid"/>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7E7E7" w:themeFill="text1" w:themeFillTint="33"/>
    </w:tcPr>
    <w:tblStylePr w:type="firstRow">
      <w:rPr>
        <w:b/>
        <w:bCs/>
      </w:rPr>
      <w:tblPr/>
      <w:tcPr>
        <w:shd w:val="clear" w:color="auto" w:fill="CCCCCC" w:themeFill="text1" w:themeFillTint="66"/>
      </w:tcPr>
    </w:tblStylePr>
    <w:tblStylePr w:type="lastRow">
      <w:rPr>
        <w:b/>
        <w:bCs/>
        <w:color w:val="000000"/>
      </w:rPr>
      <w:tblPr/>
      <w:tcPr>
        <w:shd w:val="clear" w:color="auto" w:fill="CCCCCC" w:themeFill="text1" w:themeFillTint="66"/>
      </w:tcPr>
    </w:tblStylePr>
    <w:tblStylePr w:type="firstCol">
      <w:rPr>
        <w:color w:val="FFFFFF"/>
      </w:rPr>
      <w:tblPr/>
      <w:tcPr>
        <w:shd w:val="clear" w:color="auto" w:fill="000000" w:themeFill="text1" w:themeFillShade="bf"/>
      </w:tcPr>
    </w:tblStylePr>
    <w:tblStylePr w:type="lastCol">
      <w:rPr>
        <w:color w:val="FFFFFF"/>
      </w:rPr>
      <w:tblPr/>
      <w:tcPr>
        <w:shd w:val="clear" w:color="auto" w:fill="000000" w:themeFill="text1" w:themeFillShade="bf"/>
      </w:tcPr>
    </w:tblStylePr>
    <w:tblStylePr w:type="band1Vert">
      <w:tblPr/>
      <w:tcPr>
        <w:shd w:val="clear" w:color="auto" w:fill="BDBDBD" w:themeFill="text1" w:themeFillTint="7f"/>
      </w:tcPr>
    </w:tblStylePr>
    <w:tblStylePr w:type="band1Horz">
      <w:tblPr/>
      <w:tcPr>
        <w:shd w:val="clear" w:color="auto" w:fill="BDBDBD" w:themeFill="text1" w:themeFillTint="7f"/>
      </w:tcPr>
    </w:tblStylePr>
  </w:style>
  <w:style w:type="table" w:styleId="ColorfulGrid-Accent1">
    <w:name w:val="Colorful Grid Accent 1"/>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9EDF4" w:themeFill="accent1" w:themeFillTint="33"/>
    </w:tcPr>
    <w:tblStylePr w:type="firstRow">
      <w:rPr>
        <w:b/>
        <w:bCs/>
      </w:rPr>
      <w:tblPr/>
      <w:tcPr>
        <w:shd w:val="clear" w:color="auto" w:fill="D0D8E8" w:themeFill="accent1" w:themeFillTint="66"/>
      </w:tcPr>
    </w:tblStylePr>
    <w:tblStylePr w:type="lastRow">
      <w:rPr>
        <w:b/>
        <w:bCs/>
        <w:color w:val="000000"/>
      </w:rPr>
      <w:tblPr/>
      <w:tcPr>
        <w:shd w:val="clear" w:color="auto" w:fill="D0D8E8" w:themeFill="accent1" w:themeFillTint="66"/>
      </w:tcPr>
    </w:tblStylePr>
    <w:tblStylePr w:type="firstCol">
      <w:rPr>
        <w:color w:val="FFFFFF"/>
      </w:rPr>
      <w:tblPr/>
      <w:tcPr>
        <w:shd w:val="clear" w:color="auto" w:fill="376092" w:themeFill="accent1" w:themeFillShade="bf"/>
      </w:tcPr>
    </w:tblStylePr>
    <w:tblStylePr w:type="lastCol">
      <w:rPr>
        <w:color w:val="FFFFFF"/>
      </w:rPr>
      <w:tblPr/>
      <w:tcPr>
        <w:shd w:val="clear" w:color="auto" w:fill="376092" w:themeFill="accent1" w:themeFillShade="bf"/>
      </w:tcPr>
    </w:tblStylePr>
    <w:tblStylePr w:type="band1Vert">
      <w:tblPr/>
      <w:tcPr>
        <w:shd w:val="clear" w:color="auto" w:fill="C2CDE1" w:themeFill="accent1" w:themeFillTint="7f"/>
      </w:tcPr>
    </w:tblStylePr>
    <w:tblStylePr w:type="band1Horz">
      <w:tblPr/>
      <w:tcPr>
        <w:shd w:val="clear" w:color="auto" w:fill="C2CDE1" w:themeFill="accent1" w:themeFillTint="7f"/>
      </w:tcPr>
    </w:tblStylePr>
  </w:style>
  <w:style w:type="table" w:styleId="ColorfulGrid-Accent2">
    <w:name w:val="Colorful Grid Accent 2"/>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F4E9E9" w:themeFill="accent2" w:themeFillTint="33"/>
    </w:tcPr>
    <w:tblStylePr w:type="firstRow">
      <w:rPr>
        <w:b/>
        <w:bCs/>
      </w:rPr>
      <w:tblPr/>
      <w:tcPr>
        <w:shd w:val="clear" w:color="auto" w:fill="E8D0D0" w:themeFill="accent2" w:themeFillTint="66"/>
      </w:tcPr>
    </w:tblStylePr>
    <w:tblStylePr w:type="lastRow">
      <w:rPr>
        <w:b/>
        <w:bCs/>
        <w:color w:val="000000"/>
      </w:rPr>
      <w:tblPr/>
      <w:tcPr>
        <w:shd w:val="clear" w:color="auto" w:fill="E8D0D0" w:themeFill="accent2" w:themeFillTint="66"/>
      </w:tcPr>
    </w:tblStylePr>
    <w:tblStylePr w:type="firstCol">
      <w:rPr>
        <w:color w:val="FFFFFF"/>
      </w:rPr>
      <w:tblPr/>
      <w:tcPr>
        <w:shd w:val="clear" w:color="auto" w:fill="953735" w:themeFill="accent2" w:themeFillShade="bf"/>
      </w:tcPr>
    </w:tblStylePr>
    <w:tblStylePr w:type="lastCol">
      <w:rPr>
        <w:color w:val="FFFFFF"/>
      </w:rPr>
      <w:tblPr/>
      <w:tcPr>
        <w:shd w:val="clear" w:color="auto" w:fill="953735" w:themeFill="accent2" w:themeFillShade="bf"/>
      </w:tcPr>
    </w:tblStylePr>
    <w:tblStylePr w:type="band1Vert">
      <w:tblPr/>
      <w:tcPr>
        <w:shd w:val="clear" w:color="auto" w:fill="E2C3C2" w:themeFill="accent2" w:themeFillTint="7f"/>
      </w:tcPr>
    </w:tblStylePr>
    <w:tblStylePr w:type="band1Horz">
      <w:tblPr/>
      <w:tcPr>
        <w:shd w:val="clear" w:color="auto" w:fill="E2C3C2" w:themeFill="accent2" w:themeFillTint="7f"/>
      </w:tcPr>
    </w:tblStylePr>
  </w:style>
  <w:style w:type="table" w:styleId="ColorfulGrid-Accent3">
    <w:name w:val="Colorful Grid Accent 3"/>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FF3EA" w:themeFill="accent3" w:themeFillTint="33"/>
    </w:tcPr>
    <w:tblStylePr w:type="firstRow">
      <w:rPr>
        <w:b/>
        <w:bCs/>
      </w:rPr>
      <w:tblPr/>
      <w:tcPr>
        <w:shd w:val="clear" w:color="auto" w:fill="DEE7D1" w:themeFill="accent3" w:themeFillTint="66"/>
      </w:tcPr>
    </w:tblStylePr>
    <w:tblStylePr w:type="lastRow">
      <w:rPr>
        <w:b/>
        <w:bCs/>
        <w:color w:val="000000"/>
      </w:rPr>
      <w:tblPr/>
      <w:tcPr>
        <w:shd w:val="clear" w:color="auto" w:fill="DEE7D1" w:themeFill="accent3" w:themeFillTint="66"/>
      </w:tcPr>
    </w:tblStylePr>
    <w:tblStylePr w:type="firstCol">
      <w:rPr>
        <w:color w:val="FFFFFF"/>
      </w:rPr>
      <w:tblPr/>
      <w:tcPr>
        <w:shd w:val="clear" w:color="auto" w:fill="76933C" w:themeFill="accent3" w:themeFillShade="bf"/>
      </w:tcPr>
    </w:tblStylePr>
    <w:tblStylePr w:type="lastCol">
      <w:rPr>
        <w:color w:val="FFFFFF"/>
      </w:rPr>
      <w:tblPr/>
      <w:tcPr>
        <w:shd w:val="clear" w:color="auto" w:fill="76933C" w:themeFill="accent3" w:themeFillShade="bf"/>
      </w:tcPr>
    </w:tblStylePr>
    <w:tblStylePr w:type="band1Vert">
      <w:tblPr/>
      <w:tcPr>
        <w:shd w:val="clear" w:color="auto" w:fill="D5E0C4" w:themeFill="accent3" w:themeFillTint="7f"/>
      </w:tcPr>
    </w:tblStylePr>
    <w:tblStylePr w:type="band1Horz">
      <w:tblPr/>
      <w:tcPr>
        <w:shd w:val="clear" w:color="auto" w:fill="D5E0C4" w:themeFill="accent3" w:themeFillTint="7f"/>
      </w:tcPr>
    </w:tblStylePr>
  </w:style>
  <w:style w:type="table" w:styleId="ColorfulGrid-Accent4">
    <w:name w:val="Colorful Grid Accent 4"/>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DEAF0" w:themeFill="accent4" w:themeFillTint="33"/>
    </w:tcPr>
    <w:tblStylePr w:type="firstRow">
      <w:rPr>
        <w:b/>
        <w:bCs/>
      </w:rPr>
      <w:tblPr/>
      <w:tcPr>
        <w:shd w:val="clear" w:color="auto" w:fill="D8D3E0" w:themeFill="accent4" w:themeFillTint="66"/>
      </w:tcPr>
    </w:tblStylePr>
    <w:tblStylePr w:type="lastRow">
      <w:rPr>
        <w:b/>
        <w:bCs/>
        <w:color w:val="000000"/>
      </w:rPr>
      <w:tblPr/>
      <w:tcPr>
        <w:shd w:val="clear" w:color="auto" w:fill="D8D3E0" w:themeFill="accent4" w:themeFillTint="66"/>
      </w:tcPr>
    </w:tblStylePr>
    <w:tblStylePr w:type="firstCol">
      <w:rPr>
        <w:color w:val="FFFFFF"/>
      </w:rPr>
      <w:tblPr/>
      <w:tcPr>
        <w:shd w:val="clear" w:color="auto" w:fill="604A7B" w:themeFill="accent4" w:themeFillShade="bf"/>
      </w:tcPr>
    </w:tblStylePr>
    <w:tblStylePr w:type="lastCol">
      <w:rPr>
        <w:color w:val="FFFFFF"/>
      </w:rPr>
      <w:tblPr/>
      <w:tcPr>
        <w:shd w:val="clear" w:color="auto" w:fill="604A7B" w:themeFill="accent4" w:themeFillShade="bf"/>
      </w:tcPr>
    </w:tblStylePr>
    <w:tblStylePr w:type="band1Vert">
      <w:tblPr/>
      <w:tcPr>
        <w:shd w:val="clear" w:color="auto" w:fill="CDC6D7" w:themeFill="accent4" w:themeFillTint="7f"/>
      </w:tcPr>
    </w:tblStylePr>
    <w:tblStylePr w:type="band1Horz">
      <w:tblPr/>
      <w:tcPr>
        <w:shd w:val="clear" w:color="auto" w:fill="CDC6D7" w:themeFill="accent4" w:themeFillTint="7f"/>
      </w:tcPr>
    </w:tblStylePr>
  </w:style>
  <w:style w:type="table" w:styleId="ColorfulGrid-Accent5">
    <w:name w:val="Colorful Grid Accent 5"/>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E9F1F5" w:themeFill="accent5" w:themeFillTint="33"/>
    </w:tcPr>
    <w:tblStylePr w:type="firstRow">
      <w:rPr>
        <w:b/>
        <w:bCs/>
      </w:rPr>
      <w:tblPr/>
      <w:tcPr>
        <w:shd w:val="clear" w:color="auto" w:fill="D0E3EA" w:themeFill="accent5" w:themeFillTint="66"/>
      </w:tcPr>
    </w:tblStylePr>
    <w:tblStylePr w:type="lastRow">
      <w:rPr>
        <w:b/>
        <w:bCs/>
        <w:color w:val="000000"/>
      </w:rPr>
      <w:tblPr/>
      <w:tcPr>
        <w:shd w:val="clear" w:color="auto" w:fill="D0E3EA" w:themeFill="accent5" w:themeFillTint="66"/>
      </w:tcPr>
    </w:tblStylePr>
    <w:tblStylePr w:type="firstCol">
      <w:rPr>
        <w:color w:val="FFFFFF"/>
      </w:rPr>
      <w:tblPr/>
      <w:tcPr>
        <w:shd w:val="clear" w:color="auto" w:fill="31859B" w:themeFill="accent5" w:themeFillShade="bf"/>
      </w:tcPr>
    </w:tblStylePr>
    <w:tblStylePr w:type="lastCol">
      <w:rPr>
        <w:color w:val="FFFFFF"/>
      </w:rPr>
      <w:tblPr/>
      <w:tcPr>
        <w:shd w:val="clear" w:color="auto" w:fill="31859B" w:themeFill="accent5" w:themeFillShade="bf"/>
      </w:tcPr>
    </w:tblStylePr>
    <w:tblStylePr w:type="band1Vert">
      <w:tblPr/>
      <w:tcPr>
        <w:shd w:val="clear" w:color="auto" w:fill="C2DBE5" w:themeFill="accent5" w:themeFillTint="7f"/>
      </w:tcPr>
    </w:tblStylePr>
    <w:tblStylePr w:type="band1Horz">
      <w:tblPr/>
      <w:tcPr>
        <w:shd w:val="clear" w:color="auto" w:fill="C2DBE5" w:themeFill="accent5" w:themeFillTint="7f"/>
      </w:tcPr>
    </w:tblStylePr>
  </w:style>
  <w:style w:type="table" w:styleId="ColorfulGrid-Accent6">
    <w:name w:val="Colorful Grid Accent 6"/>
    <w:uiPriority w:val="73"/>
    <w:basedOn w:val="TableNormal"/>
    <w:pPr>
      <w:spacing w:after="0" w:line="240" w:lineRule="auto"/>
    </w:pPr>
    <w:rPr>
      <w:color w:val="000000"/>
    </w:rPr>
    <w:tblPr>
      <w:tblInd w:w="0" w:type="dxa"/>
      <w:tblBorders>
        <w:insideH w:val="single" w:sz="4" w:space="0" w:color="FFFFFF" w:themeColor="background1"/>
      </w:tblBorders>
      <w:tblCellMar>
        <w:top w:w="0" w:type="dxa"/>
        <w:left w:w="108" w:type="dxa"/>
        <w:bottom w:w="0" w:type="dxa"/>
        <w:right w:w="108" w:type="dxa"/>
      </w:tblCellMar>
      <w:tblStyleColBandSize w:val="1"/>
      <w:tblStyleRowBandSize w:val="1"/>
    </w:tblPr>
    <w:tcPr>
      <w:shd w:val="clear" w:color="auto" w:fill="FDEFE9" w:themeFill="accent6" w:themeFillTint="33"/>
    </w:tcPr>
    <w:tblStylePr w:type="firstRow">
      <w:rPr>
        <w:b/>
        <w:bCs/>
      </w:rPr>
      <w:tblPr/>
      <w:tcPr>
        <w:shd w:val="clear" w:color="auto" w:fill="FCDDCF" w:themeFill="accent6" w:themeFillTint="66"/>
      </w:tcPr>
    </w:tblStylePr>
    <w:tblStylePr w:type="lastRow">
      <w:rPr>
        <w:b/>
        <w:bCs/>
        <w:color w:val="000000"/>
      </w:rPr>
      <w:tblPr/>
      <w:tcPr>
        <w:shd w:val="clear" w:color="auto" w:fill="FCDDCF" w:themeFill="accent6" w:themeFillTint="66"/>
      </w:tcPr>
    </w:tblStylePr>
    <w:tblStylePr w:type="firstCol">
      <w:rPr>
        <w:color w:val="FFFFFF"/>
      </w:rPr>
      <w:tblPr/>
      <w:tcPr>
        <w:shd w:val="clear" w:color="auto" w:fill="E46C0A" w:themeFill="accent6" w:themeFillShade="bf"/>
      </w:tcPr>
    </w:tblStylePr>
    <w:tblStylePr w:type="lastCol">
      <w:rPr>
        <w:color w:val="FFFFFF"/>
      </w:rPr>
      <w:tblPr/>
      <w:tcPr>
        <w:shd w:val="clear" w:color="auto" w:fill="E46C0A" w:themeFill="accent6" w:themeFillShade="bf"/>
      </w:tcPr>
    </w:tblStylePr>
    <w:tblStylePr w:type="band1Vert">
      <w:tblPr/>
      <w:tcPr>
        <w:shd w:val="clear" w:color="auto" w:fill="FBD3C1" w:themeFill="accent6" w:themeFillTint="7f"/>
      </w:tcPr>
    </w:tblStylePr>
    <w:tblStylePr w:type="band1Horz">
      <w:tblPr/>
      <w:tcPr>
        <w:shd w:val="clear" w:color="auto" w:fill="FBD3C1" w:themeFill="accent6" w:themeFillTint="7f"/>
      </w:tcPr>
    </w:tblStylePr>
  </w:style>
  <w:style w:type="table" w:customStyle="1" w:styleId="a4">
    <w:name w:val="Normal Table"/>
    <w:uiPriority w:val="99"/>
    <w:semiHidden/>
    <w:unhideWhenUsed/>
    <w:tblPr>
      <w:tblInd w:w="0" w:type="dxa"/>
      <w:tblCellMar>
        <w:top w:w="0" w:type="dxa"/>
        <w:left w:w="108" w:type="dxa"/>
        <w:bottom w:w="0" w:type="dxa"/>
        <w:right w:w="108" w:type="dxa"/>
      </w:tblCellMar>
    </w:tblPr>
  </w:style>
  <w:style w:type="numbering" w:customStyle="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numbering" Target="numbering.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아이의 꿈, 엄마의 바람 출판기획서</dc:title>
  <dc:subject>출판기획서</dc:subject>
  <dc:creator>python-docx</dc:creator>
  <cp:keywords/>
  <dc:description>ChatGPT로 작성한 출판기획서 초안. 저자 정보와 연락처는 기입 필요.</dc:description>
  <cp:lastModifiedBy>user</cp:lastModifiedBy>
  <cp:revision>1</cp:revision>
  <dcterms:created xsi:type="dcterms:W3CDTF">2013-12-23T23:15:00Z</dcterms:created>
  <dcterms:modified xsi:type="dcterms:W3CDTF">2026-06-10T06:29:32Z</dcterms:modified>
  <cp:version>1300.0100.01</cp:version>
</cp:coreProperties>
</file>