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E3A1" w14:textId="518692ED" w:rsidR="004527DB" w:rsidRPr="004527DB" w:rsidRDefault="00563889" w:rsidP="004527DB">
      <w:pPr>
        <w:spacing w:line="240" w:lineRule="auto"/>
        <w:jc w:val="center"/>
        <w:rPr>
          <w:rFonts w:ascii="Apple SD Gothic Neo" w:eastAsia="Apple SD Gothic Neo" w:hAnsi="Apple SD Gothic Neo"/>
          <w:b/>
          <w:bCs/>
          <w:sz w:val="19"/>
          <w:szCs w:val="19"/>
          <w:lang w:val="vi-VN" w:eastAsia="ko-KR"/>
        </w:rPr>
      </w:pPr>
      <w:r>
        <w:rPr>
          <w:rFonts w:ascii="Apple SD Gothic Neo" w:eastAsia="Apple SD Gothic Neo" w:hAnsi="Apple SD Gothic Neo" w:hint="eastAsia"/>
          <w:b/>
          <w:bCs/>
          <w:sz w:val="19"/>
          <w:szCs w:val="19"/>
          <w:lang w:eastAsia="ko-KR"/>
        </w:rPr>
        <w:t xml:space="preserve">  </w:t>
      </w:r>
      <w:r w:rsidR="004527DB"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자살 문제 종합 보고서 요약본</w:t>
      </w:r>
    </w:p>
    <w:p w14:paraId="42DC88E1" w14:textId="7DCD6634" w:rsidR="004527DB" w:rsidRPr="004527DB" w:rsidRDefault="004527DB" w:rsidP="004527DB">
      <w:pPr>
        <w:spacing w:line="240" w:lineRule="auto"/>
        <w:jc w:val="center"/>
        <w:rPr>
          <w:rFonts w:ascii="Apple SD Gothic Neo" w:eastAsia="Apple SD Gothic Neo" w:hAnsi="Apple SD Gothic Neo"/>
          <w:sz w:val="19"/>
          <w:szCs w:val="19"/>
          <w:lang w:val="vi-VN" w:eastAsia="ko-KR"/>
        </w:rPr>
      </w:pPr>
      <w:r w:rsidRPr="004527DB">
        <w:rPr>
          <w:rFonts w:ascii="Apple SD Gothic Neo" w:eastAsia="Apple SD Gothic Neo" w:hAnsi="Apple SD Gothic Neo" w:hint="eastAsia"/>
          <w:b/>
          <w:bCs/>
          <w:sz w:val="19"/>
          <w:szCs w:val="19"/>
          <w:lang w:eastAsia="ko-KR"/>
        </w:rPr>
        <w:t>1팀-</w:t>
      </w: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NUMBER</w:t>
      </w: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val="vi-VN" w:eastAsia="ko-KR"/>
        </w:rPr>
        <w:t xml:space="preserve"> ONE</w:t>
      </w:r>
    </w:p>
    <w:p w14:paraId="206FD288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제1부. 서론 및 문제 제기</w:t>
      </w:r>
    </w:p>
    <w:p w14:paraId="7CEC6685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자살은 개인의 선택을 넘어 심리·사회·경제·문화적 요인이 복합적으로 작용하는 심각한 사회문제이다. 전 세계적으로 매년 70만 명 이상이, 한국에서는 하루 평균 35명 이상이 자살로 생을 마감하고 있어 통합적 이해와 예방 전략이 요구된다.</w:t>
      </w:r>
    </w:p>
    <w:p w14:paraId="1224172B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제2부. 자살의 원인 분석</w:t>
      </w:r>
    </w:p>
    <w:p w14:paraId="0D999AB3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자살에는 낮은 자존감, 상실 경험 등 심리적 요인과 우울증·불안장애·정신질환 같은 임상적 요인이 크게 작용한다. 또한 트라우마, 차별과 경쟁 압력, SNS 비교문화, 취업난, 경제적 어려움, 사회적 고립 등이 위험을 증폭시키며, 유전·생물학적 요인도 감정 조절에 영향을 미친다.</w:t>
      </w:r>
    </w:p>
    <w:p w14:paraId="52386CB0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제3부. 취약 집단과 특성</w:t>
      </w:r>
    </w:p>
    <w:p w14:paraId="59AE7C12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청소년·청년층(15~29세)은 학업·SNS·관계 스트레스로 취약하며, 중·장년층은 경제적 부담, 상실감, 고립이 주요 원인이다. 특히 남성은 치명적 수단 사용과 낮은 도움 요청 경향으로 자살률이 높다. 직업적으로는 경찰·의료·예술·건설 분야 등 고위험 직업군이 존재한다.</w:t>
      </w:r>
    </w:p>
    <w:p w14:paraId="7E56AFEF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제4부. 위험 신호와 조기 발견</w:t>
      </w:r>
    </w:p>
    <w:p w14:paraId="5EA85185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자살 위험은 언어적 신호(죽음 관련 언급), 행동 변화(고립·정리 행동), 정서적 변화(우울·무가치감), 사회적 신호(SNS 활동 급감) 등으로 나타난다. 조기 발견과 진심 어린 대화는 예방에 결정적으로 기여한다.</w:t>
      </w:r>
    </w:p>
    <w:p w14:paraId="582D1660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제5부. 예방 전략과 대응 방법</w:t>
      </w:r>
    </w:p>
    <w:p w14:paraId="54C045A7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 xml:space="preserve">개인 차원에서는 감정 인식과 회복탄력성 강화가 필요하며, 가족·친구는 경청과 지지로 </w:t>
      </w:r>
      <w:proofErr w:type="spellStart"/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보호망</w:t>
      </w:r>
      <w:proofErr w:type="spellEnd"/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 xml:space="preserve"> 역할을 한다. 사회는 생명존중 문화를 확산하고 정신건강 교육·캠페인을 강화해야 하며, 정부는 접근성 높은 정신건강 서비스와 위기 대응 체계를 확립해야 한다.</w:t>
      </w:r>
    </w:p>
    <w:p w14:paraId="11CD2599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제6부. 지원 체계와 치료 자원</w:t>
      </w:r>
    </w:p>
    <w:p w14:paraId="062816DB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생명의 전화(1588-9191), 자살예방 상담전화(1393) 등 24시간 지원체계가 존재하며, 정신건강복지센터, 병원, 상담기관, 온라인 상담 등을 통해 치료와 위기 개입이 가능하다.</w:t>
      </w:r>
    </w:p>
    <w:p w14:paraId="166B46A8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제7부. 종교적 관점</w:t>
      </w:r>
    </w:p>
    <w:p w14:paraId="4B4594F9" w14:textId="77777777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val="vi-VN"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불교는 자살을 불살생 계율과 윤회·업의 관점에서 부정적으로 보며, 신앙이 위험 완화 요인으로 나타난다. 기독교 역시 자살을 도덕적으로 금기하며, 신앙 공동체는 예방에 긍정적인 영향을 미친다.</w:t>
      </w:r>
    </w:p>
    <w:p w14:paraId="2C7A6AE8" w14:textId="776726BA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eastAsia="ko-KR"/>
        </w:rPr>
      </w:pPr>
      <w:r w:rsidRPr="004527DB">
        <w:rPr>
          <w:rFonts w:ascii="Apple SD Gothic Neo" w:eastAsia="Apple SD Gothic Neo" w:hAnsi="Apple SD Gothic Neo"/>
          <w:b/>
          <w:bCs/>
          <w:sz w:val="19"/>
          <w:szCs w:val="19"/>
          <w:lang w:eastAsia="ko-KR"/>
        </w:rPr>
        <w:t>제8부. 결론 및 향후 과제</w:t>
      </w:r>
    </w:p>
    <w:p w14:paraId="482BCDCB" w14:textId="486ED30D" w:rsidR="004527DB" w:rsidRPr="004527DB" w:rsidRDefault="004527DB" w:rsidP="004527DB">
      <w:pPr>
        <w:spacing w:line="240" w:lineRule="auto"/>
        <w:rPr>
          <w:rFonts w:ascii="Apple SD Gothic Neo" w:eastAsia="Apple SD Gothic Neo" w:hAnsi="Apple SD Gothic Neo"/>
          <w:sz w:val="19"/>
          <w:szCs w:val="19"/>
          <w:lang w:val="vi-VN" w:eastAsia="ko-KR"/>
        </w:rPr>
      </w:pPr>
      <w:r w:rsidRPr="004527DB">
        <w:rPr>
          <w:rFonts w:ascii="Apple SD Gothic Neo" w:eastAsia="Apple SD Gothic Neo" w:hAnsi="Apple SD Gothic Neo"/>
          <w:sz w:val="19"/>
          <w:szCs w:val="19"/>
          <w:lang w:eastAsia="ko-KR"/>
        </w:rPr>
        <w:t>자살 예방의 핵심은 조기 발견, 지속적 지지, 전문적 도움 제공이다. 희망과 회복의 사례는 도움 요청이 생명을 구할 수 있음을 보여준다. 정책적 개선, 지속적 연구, 사회 전체의 책임 의식이 필요하며, “당신은 혼자가 아니다”라는 메시지가 최종적으로 강조된다.</w:t>
      </w:r>
    </w:p>
    <w:sectPr w:rsidR="004527DB" w:rsidRPr="004527DB" w:rsidSect="004527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DB"/>
    <w:rsid w:val="004527DB"/>
    <w:rsid w:val="0056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73EE4"/>
  <w15:chartTrackingRefBased/>
  <w15:docId w15:val="{99883A7A-A878-D24A-AB80-B6D626F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DB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27DB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ore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ore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ore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7D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27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27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27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27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27DB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ore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5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27DB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ore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52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27DB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4"/>
      <w:lang w:eastAsia="ko-Kore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527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27DB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kern w:val="2"/>
      <w:szCs w:val="24"/>
      <w:lang w:eastAsia="ko-Kore-KR"/>
      <w14:ligatures w14:val="standardContextual"/>
    </w:rPr>
  </w:style>
  <w:style w:type="character" w:styleId="a7">
    <w:name w:val="Intense Emphasis"/>
    <w:basedOn w:val="a0"/>
    <w:uiPriority w:val="21"/>
    <w:qFormat/>
    <w:rsid w:val="004527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27D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ko-Kore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527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2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다오 관 카이</dc:creator>
  <cp:keywords/>
  <dc:description/>
  <cp:lastModifiedBy>다오 관 카이</cp:lastModifiedBy>
  <cp:revision>2</cp:revision>
  <dcterms:created xsi:type="dcterms:W3CDTF">2025-11-25T03:44:00Z</dcterms:created>
  <dcterms:modified xsi:type="dcterms:W3CDTF">2025-11-27T15:55:00Z</dcterms:modified>
</cp:coreProperties>
</file>