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spacing w:lineRule="auto" w:line="259"/>
        <w:rPr>
          <w:shd w:val="clear"/>
        </w:rPr>
      </w:pPr>
      <w:r>
        <w:rPr>
          <w:shd w:val="clear"/>
        </w:rPr>
        <w:t xml:space="preserve">1. 왜 AI 반도체뿐 아니라 전력 인프라와 SMR까지 포함했나요?</w:t>
      </w:r>
    </w:p>
    <w:p>
      <w:pPr>
        <w:spacing w:lineRule="auto" w:line="259"/>
        <w:rPr>
          <w:shd w:val="clear"/>
        </w:rPr>
      </w:pPr>
      <w:r>
        <w:rPr>
          <w:shd w:val="clear"/>
        </w:rPr>
        <w:t>답변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AI 산업의 성장은 반도체만으로 완성되지 않습니다. AI 데이터센터가 늘어날수록 전력 수요도 </w:t>
      </w:r>
      <w:r>
        <w:rPr>
          <w:shd w:val="clear"/>
        </w:rPr>
        <w:t xml:space="preserve">함께 증가하기 때문입니다. 따라서 AI → 반도체 → 전력 인프라 → 원자력(SMR)로 이어지는 </w:t>
      </w:r>
      <w:r>
        <w:rPr>
          <w:shd w:val="clear"/>
        </w:rPr>
        <w:t xml:space="preserve">하나의 밸류체인에 투자하는 전략을 선택했습니다.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2. 삼성전자보다 SK하이닉스 비중을 더 높게 둔 이유는 무엇인가요?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>답변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현재 AI 메모리 시장에서는 HBM이 핵심인데, SK하이닉스가 HBM 시장 점유율과 기술 </w:t>
      </w:r>
      <w:r>
        <w:rPr>
          <w:shd w:val="clear"/>
        </w:rPr>
        <w:t xml:space="preserve">경쟁력에서 앞서 있습니다. 또한 HBM 생산 물량이 이미 상당 부분 선판매된 상태여서 실적 </w:t>
      </w:r>
      <w:r>
        <w:rPr>
          <w:shd w:val="clear"/>
        </w:rPr>
        <w:t xml:space="preserve">가시성이 높다고 판단했습니다. 삼성전자는 안정성 측면에서 편입했습니다.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3.AI 버블이 꺼지면 포트폴리오는 어떻게 되나요?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>답변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이를 대비해 전력 인프라와 안전자산 비중을 함께 가져갔습니다. 또한 분할 리밸런싱 규칙과 </w:t>
      </w:r>
      <w:r>
        <w:rPr>
          <w:shd w:val="clear"/>
        </w:rPr>
        <w:t xml:space="preserve">현금 10%를 유지해 하락 시 추가 매수 기회를 확보하도록 설계했습니다.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4.왜 전력 인프라 기업으로 HD현대일렉트릭, LS일렉트릭, 효성중공업을 선택했나요?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>답변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AI 데이터센터 증가로 변압기와 전력 설비 수요가 크게 증가하고 있습니다. 세 기업 모두 </w:t>
      </w:r>
      <w:r>
        <w:rPr>
          <w:shd w:val="clear"/>
        </w:rPr>
        <w:t xml:space="preserve">초고압 변압기와 송배전 분야에서 경쟁력을 가지고 있으며, 이미 수년치 수주잔고를 확보해 </w:t>
      </w:r>
      <w:r>
        <w:rPr>
          <w:shd w:val="clear"/>
        </w:rPr>
        <w:t xml:space="preserve">실적 가시성이 높다고 판단했습니다.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5.원자력 대신 신재생에너지에 투자하지 않은 이유는 무엇인가요?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>답변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신재생에너지도 중요하지만 AI 데이터센터는 24시간 안정적인 전력 공급이 필요합니다. </w:t>
      </w:r>
      <w:r>
        <w:rPr>
          <w:shd w:val="clear"/>
        </w:rPr>
        <w:t xml:space="preserve">태양광·풍력은 간헐성 문제가 있어 현재로서는 기저전원 역할을 하기 어렵습니다. 그래서 </w:t>
      </w:r>
      <w:r>
        <w:rPr>
          <w:shd w:val="clear"/>
        </w:rPr>
        <w:t xml:space="preserve">빅테크 기업들도 원자력과 SMR에 관심을 확대하고 있다고 판단했습니다.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6.현금 10%를 보유하는 이유는 무엇인가요?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>답변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시장이 급락했을 때 우량 종목을 저가에 매수할 수 있는 유동성을 확보하기 위해서입니다. </w:t>
      </w:r>
      <w:r>
        <w:rPr>
          <w:shd w:val="clear"/>
        </w:rPr>
        <w:t xml:space="preserve">특히 성장주 중심 포트폴리오는 변동성이 크기 때문에 현금 비중은 리스크 관리와 추가 수익 </w:t>
      </w:r>
      <w:r>
        <w:rPr>
          <w:shd w:val="clear"/>
        </w:rPr>
        <w:t xml:space="preserve">창출 모두에 도움이 됩니다.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7.이 포트폴리오의 가장 큰 리스크는 무엇인가요?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>답변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가장 큰 리스크는 AI 투자 사이클 둔화입니다. AI 기업들의 CAPEX가 감소하거나 HBM </w:t>
      </w:r>
      <w:r>
        <w:rPr>
          <w:shd w:val="clear"/>
        </w:rPr>
        <w:t xml:space="preserve">수요가 예상보다 줄어들 경우 반도체와 전력 인프라 모두 영향을 받을 수 있습니다. 이를 </w:t>
      </w:r>
      <w:r>
        <w:rPr>
          <w:shd w:val="clear"/>
        </w:rPr>
        <w:t xml:space="preserve">완화하기 위해 반도체·전력·SMR·안전자산으로 분산 투자했습니다.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8.HBM 공급 부족이 영원히 지속될까요? 결국 증설되면 가격이 떨어지지 않나요?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>답변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HBM도 결국 공급 확대가 이뤄지면 초과수익은 줄어들 수 있습니다. 하지만 현재는 수요 </w:t>
      </w:r>
      <w:r>
        <w:rPr>
          <w:shd w:val="clear"/>
        </w:rPr>
        <w:t xml:space="preserve">증가 속도가 공급 확대 속도보다 빠른 구간이라고 판단했습니다. 따라서 영구적 독점이 </w:t>
      </w:r>
      <w:r>
        <w:rPr>
          <w:shd w:val="clear"/>
        </w:rPr>
        <w:t xml:space="preserve">아니라 향후 2~3년의 구조적 성장 사이클에 투자하는 전략입니다.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9.빅테크가 원자력을 선택했다고 해서 한국 기업이 수혜를 본다는 보장은 있나요?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>답변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보장은 없지만 단순히 “원전이 좋다”가 아닌 현재 글로벌 SMR 업체들의 공급망에서 실제 </w:t>
      </w:r>
      <w:r>
        <w:rPr>
          <w:shd w:val="clear"/>
        </w:rPr>
        <w:t xml:space="preserve">수주를 받고 있는 기업을 선별했습니다.특히 두산에너빌리티는 여러 글로벌 SMR 기업에 핵심 </w:t>
      </w:r>
      <w:r>
        <w:rPr>
          <w:shd w:val="clear"/>
        </w:rPr>
        <w:t xml:space="preserve">부품을 공급하고 있어 실질적 수혜 가능성이 높다고 판단했습니다.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10. 현재 비중이 최적이라는 근거가 있나요? 40%, 25%, 15%, 20%는 어떻게 산출했나요?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>답변</w:t>
      </w:r>
    </w:p>
    <w:p>
      <w:pPr>
        <w:spacing w:lineRule="auto" w:line="259"/>
        <w:rPr>
          <w:color w:val="auto"/>
          <w:sz w:val="22"/>
          <w:szCs w:val="22"/>
          <w:shd w:val="clear"/>
          <w:rFonts w:ascii="NanumGothic" w:eastAsia="NanumGothic" w:hAnsi="NanumGothic" w:cs="NanumGothic"/>
        </w:rPr>
      </w:pPr>
      <w:r>
        <w:rPr>
          <w:shd w:val="clear"/>
        </w:rPr>
        <w:t xml:space="preserve">정확한 수학적 최적화 결과라기보다 성장성, 실적 가시성, 불확실성, 변동성을 종합적으로 </w:t>
      </w:r>
      <w:r>
        <w:rPr>
          <w:shd w:val="clear"/>
        </w:rPr>
        <w:t xml:space="preserve">고려한 전략적 비중입니다.반도체는 성장성 최고(40%), 전력은 실적 안정성(25%), SMR은 </w:t>
      </w:r>
      <w:r>
        <w:rPr>
          <w:shd w:val="clear"/>
        </w:rPr>
        <w:t xml:space="preserve">장기 성장 옵션(15%), 안전자산은 리스크 관리(20%) 역할을 부여했습니다. 즉 단순히 </w:t>
      </w:r>
      <w:r>
        <w:rPr>
          <w:shd w:val="clear"/>
        </w:rPr>
        <w:t xml:space="preserve">전망이 좋은 순서가 아니라 위험 대비 기대수익을 고려해 비중을 설계했습니다.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2"/>
        <w:szCs w:val="22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2"/>
      <w:szCs w:val="22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389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Polaris Office</dc:creator>
  <cp:lastModifiedBy>Polaris Office</cp:lastModifiedBy>
</cp:coreProperties>
</file>