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300"/>
        <w:rPr>
          <w:lang/>
          <w:rtl w:val="off"/>
        </w:rPr>
      </w:pPr>
    </w:p>
    <w:p>
      <w:pPr>
        <w:spacing w:after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>
        <w:tc>
          <w:tcPr>
            <w:tcW w:w="9360" w:type="dxa"/>
            <w:tcBorders>
              <w:top w:val="none"/>
              <w:left w:val="none"/>
              <w:bottom w:val="none"/>
              <w:right w:val="none"/>
            </w:tcBorders>
            <w:shd w:val="clear" w:color="auto" w:fill="1F4E79"/>
            <w:tcMar>
              <w:top w:w="200" w:type="dxa"/>
              <w:left w:w="320" w:type="dxa"/>
              <w:bottom w:w="200" w:type="dxa"/>
              <w:right w:w="320" w:type="dxa"/>
            </w:tcMar>
          </w:tcPr>
          <w:p>
            <w:pPr>
              <w:jc w:val="center"/>
              <w:spacing w:after="50"/>
            </w:pPr>
            <w:r>
              <w:rPr>
                <w:rFonts w:ascii="맑은 고딕" w:eastAsia="맑은 고딕" w:hAnsi="맑은 고딕" w:cs="맑은 고딕"/>
                <w:color w:val="BDD7EE"/>
                <w:sz w:val="18"/>
                <w:szCs w:val="18"/>
              </w:rPr>
              <w:t>B영역. 환경 및 안전  |  D영역. 이용자의 권리  |  A3. 직원의 역량강화</w:t>
            </w:r>
          </w:p>
          <w:p>
            <w:pPr>
              <w:jc w:val="center"/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21"/>
                <w:szCs w:val="21"/>
              </w:rPr>
              <w:t>제1장~제20장 + 부록 11종  —  전 영역 통합 안전관리 매뉴얼</w:t>
            </w:r>
          </w:p>
        </w:tc>
      </w:tr>
    </w:tbl>
    <w:p>
      <w:pPr>
        <w:spacing w:after="200"/>
      </w:pPr>
    </w:p>
    <w:p>
      <w:pPr>
        <w:jc w:val="center"/>
        <w:spacing w:after="60"/>
      </w:pPr>
      <w:r>
        <w:rPr>
          <w:rFonts w:ascii="맑은 고딕" w:eastAsia="맑은 고딕" w:hAnsi="맑은 고딕" w:cs="맑은 고딕"/>
          <w:color w:val="555555"/>
          <w:sz w:val="28"/>
          <w:szCs w:val="28"/>
        </w:rPr>
        <w:t>착한목자의집</w:t>
      </w:r>
    </w:p>
    <w:p>
      <w:pPr>
        <w:jc w:val="center"/>
        <w:spacing w:after="300"/>
      </w:pPr>
      <w:r>
        <w:rPr>
          <w:rFonts w:ascii="맑은 고딕" w:eastAsia="맑은 고딕" w:hAnsi="맑은 고딕" w:cs="맑은 고딕"/>
          <w:b/>
          <w:bCs/>
          <w:color w:val="1F4E79"/>
          <w:sz w:val="54"/>
          <w:szCs w:val="54"/>
        </w:rPr>
        <w:t>종합안전관리매뉴얼</w:t>
      </w:r>
    </w:p>
    <w:p>
      <w:pPr>
        <w:pBdr>
          <w:bottom w:val="single" w:sz="10" w:space="1" w:color="1F4E79"/>
        </w:pBdr>
        <w:spacing w:after="260" w:before="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C00000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9"/>
                <w:szCs w:val="19"/>
              </w:rPr>
              <w:t>화재·지진·풍수해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2F5496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9"/>
                <w:szCs w:val="19"/>
              </w:rPr>
              <w:t>산불·폭염·한파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085041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9"/>
                <w:szCs w:val="19"/>
              </w:rPr>
              <w:t>감염병·식품위생</w:t>
            </w:r>
          </w:p>
        </w:tc>
      </w:tr>
      <w:tr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C00000"/>
                <w:sz w:val="17"/>
                <w:szCs w:val="17"/>
              </w:rPr>
              <w:t>• 화재예방·대응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C00000"/>
                <w:sz w:val="17"/>
                <w:szCs w:val="17"/>
              </w:rPr>
              <w:t>• 지진 8단계 대응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C00000"/>
                <w:sz w:val="17"/>
                <w:szCs w:val="17"/>
              </w:rPr>
              <w:t>• 태풍·집중호우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F5496"/>
                <w:sz w:val="17"/>
                <w:szCs w:val="17"/>
              </w:rPr>
              <w:t>• 산불 8단계 대응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F5496"/>
                <w:sz w:val="17"/>
                <w:szCs w:val="17"/>
              </w:rPr>
              <w:t>• 온열질환 대응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2F5496"/>
                <w:sz w:val="17"/>
                <w:szCs w:val="17"/>
              </w:rPr>
              <w:t>• 저체온증 대응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085041"/>
                <w:sz w:val="17"/>
                <w:szCs w:val="17"/>
              </w:rPr>
              <w:t>• 9종 감염병 대응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085041"/>
                <w:sz w:val="17"/>
                <w:szCs w:val="17"/>
              </w:rPr>
              <w:t>• 격리관리·소독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085041"/>
                <w:sz w:val="17"/>
                <w:szCs w:val="17"/>
              </w:rPr>
              <w:t>• 식중독 예방</w:t>
            </w:r>
          </w:p>
        </w:tc>
      </w:tr>
    </w:tbl>
    <w:p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2E75B6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9"/>
                <w:szCs w:val="19"/>
              </w:rPr>
              <w:t>응급·실종·차량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1F4E79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9"/>
                <w:szCs w:val="19"/>
              </w:rPr>
              <w:t>학대·성폭력 예방</w:t>
            </w:r>
          </w:p>
        </w:tc>
        <w:tc>
          <w:tcPr>
            <w:tcW w:w="3120" w:type="dxa"/>
            <w:tcBorders>
              <w:top w:val="none"/>
              <w:left w:val="none"/>
              <w:bottom w:val="none"/>
              <w:right w:val="none"/>
            </w:tcBorders>
            <w:shd w:val="clear" w:color="auto" w:fill="4E3B6E"/>
            <w:tcMar>
              <w:top w:w="100" w:type="dxa"/>
              <w:left w:w="140" w:type="dxa"/>
              <w:bottom w:w="70" w:type="dxa"/>
              <w:right w:w="140" w:type="dxa"/>
            </w:tcMar>
          </w:tcPr>
          <w:p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FFFFFF"/>
                <w:sz w:val="19"/>
                <w:szCs w:val="19"/>
              </w:rPr>
              <w:t>행동지원·종사자</w:t>
            </w:r>
          </w:p>
        </w:tc>
      </w:tr>
      <w:tr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E75B6"/>
                <w:sz w:val="17"/>
                <w:szCs w:val="17"/>
              </w:rPr>
              <w:t>• 12종 응급상황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2E75B6"/>
                <w:sz w:val="17"/>
                <w:szCs w:val="17"/>
              </w:rPr>
              <w:t>• 실종 8단계 대응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2E75B6"/>
                <w:sz w:val="17"/>
                <w:szCs w:val="17"/>
              </w:rPr>
              <w:t>• 교통사고 대응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1F4E79"/>
                <w:sz w:val="17"/>
                <w:szCs w:val="17"/>
              </w:rPr>
              <w:t>• 학대 7단계 대응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1F4E79"/>
                <w:sz w:val="17"/>
                <w:szCs w:val="17"/>
              </w:rPr>
              <w:t>• 성폭력 8단계 대응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1F4E79"/>
                <w:sz w:val="17"/>
                <w:szCs w:val="17"/>
              </w:rPr>
              <w:t>• 인권보호 선언</w:t>
            </w:r>
          </w:p>
        </w:tc>
        <w:tc>
          <w:tcPr>
            <w:tcW w:w="31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AFD"/>
            <w:tcMar>
              <w:top w:w="90" w:type="dxa"/>
              <w:left w:w="140" w:type="dxa"/>
              <w:bottom w:w="90" w:type="dxa"/>
              <w:right w:w="140" w:type="dxa"/>
            </w:tcMar>
          </w:tcPr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4E3B6E"/>
                <w:sz w:val="17"/>
                <w:szCs w:val="17"/>
              </w:rPr>
              <w:t>• 도전적행동 지원</w:t>
            </w:r>
          </w:p>
          <w:p>
            <w:pPr>
              <w:spacing w:after="40"/>
            </w:pPr>
            <w:r>
              <w:rPr>
                <w:rFonts w:ascii="맑은 고딕" w:eastAsia="맑은 고딕" w:hAnsi="맑은 고딕" w:cs="맑은 고딕"/>
                <w:color w:val="4E3B6E"/>
                <w:sz w:val="17"/>
                <w:szCs w:val="17"/>
              </w:rPr>
              <w:t>• 시설물·전기·가스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4E3B6E"/>
                <w:sz w:val="17"/>
                <w:szCs w:val="17"/>
              </w:rPr>
              <w:t>• 종사자 소진예방</w:t>
            </w:r>
          </w:p>
        </w:tc>
      </w:tr>
    </w:tbl>
    <w:p>
      <w:pPr>
        <w:spacing w:after="60"/>
      </w:pPr>
    </w:p>
    <w:p>
      <w:pPr>
        <w:spacing w:after="140"/>
      </w:pPr>
    </w:p>
    <w:p>
      <w:pPr>
        <w:jc w:val="center"/>
        <w:spacing w:after="80"/>
      </w:pPr>
      <w:r>
        <w:rPr>
          <w:rFonts w:ascii="맑은 고딕" w:eastAsia="맑은 고딕" w:hAnsi="맑은 고딕" w:cs="맑은 고딕"/>
          <w:color w:val="666666"/>
          <w:sz w:val="22"/>
          <w:szCs w:val="22"/>
        </w:rPr>
        <w:t>초중증 지적발달장애인 공동생활가정</w:t>
      </w:r>
    </w:p>
    <w:p>
      <w:pPr>
        <w:jc w:val="center"/>
        <w:spacing w:after="60"/>
      </w:pPr>
      <w:r>
        <w:rPr>
          <w:rFonts w:ascii="맑은 고딕" w:eastAsia="맑은 고딕" w:hAnsi="맑은 고딕" w:cs="맑은 고딕"/>
          <w:b/>
          <w:bCs/>
          <w:color w:val="1F4E79"/>
          <w:sz w:val="30"/>
          <w:szCs w:val="30"/>
        </w:rPr>
        <w:t>지체장애인자립센터 착한목자의 집</w:t>
      </w:r>
    </w:p>
    <w:p>
      <w:pPr>
        <w:spacing w:after="160"/>
      </w:pPr>
    </w:p>
    <w:p>
      <w:pPr>
        <w:pBdr>
          <w:top w:val="single" w:sz="6" w:space="1" w:color="1F4E79"/>
        </w:pBdr>
        <w:spacing w:after="120" w:before="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360"/>
      </w:tblGrid>
      <w:tr>
        <w:tc>
          <w:tcPr>
            <w:tcW w:w="600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3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지체장애인자립센터 착한목자의 집</w:t>
            </w:r>
          </w:p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color w:val="777777"/>
                <w:sz w:val="17"/>
                <w:szCs w:val="17"/>
              </w:rPr>
              <w:t>초중증 지적발달장애인 공동생활가정</w:t>
            </w:r>
          </w:p>
        </w:tc>
        <w:tc>
          <w:tcPr>
            <w:tcW w:w="336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jc w:val="right"/>
              <w:spacing w:after="0"/>
            </w:pPr>
            <w:r>
              <w:rPr>
                <w:rFonts w:ascii="맑은 고딕" w:eastAsia="맑은 고딕" w:hAnsi="맑은 고딕" w:cs="맑은 고딕"/>
                <w:color w:val="444444"/>
                <w:sz w:val="19"/>
                <w:szCs w:val="19"/>
              </w:rPr>
              <w:t>시설장  안태철  (인)</w:t>
            </w:r>
          </w:p>
        </w:tc>
      </w:tr>
    </w:tbl>
    <w:p/>
    <w:sectPr>
      <w:pgSz w:w="11906" w:h="16838"/>
      <w:pgMar w:top="1100" w:right="1100" w:bottom="1100" w:left="1100" w:header="708" w:footer="708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displayBackgroundShape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sz w:val="20"/>
        <w:szCs w:val="20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Title">
    <w:name w:val="Title"/>
    <w:next w:val="Title"/>
    <w:qFormat/>
    <w:rPr>
      <w:sz w:val="56"/>
      <w:szCs w:val="56"/>
    </w:rPr>
  </w:style>
  <w:style w:type="paragraph" w:customStyle="1" w:styleId="Heading1">
    <w:name w:val="Heading 1"/>
    <w:next w:val="Title"/>
    <w:qFormat/>
    <w:rPr>
      <w:color w:val="2E74B5"/>
      <w:sz w:val="32"/>
      <w:szCs w:val="32"/>
    </w:rPr>
  </w:style>
  <w:style w:type="paragraph" w:customStyle="1" w:styleId="Heading2">
    <w:name w:val="Heading 2"/>
    <w:next w:val="Title"/>
    <w:qFormat/>
    <w:rPr>
      <w:color w:val="2E74B5"/>
      <w:sz w:val="26"/>
      <w:szCs w:val="26"/>
    </w:rPr>
  </w:style>
  <w:style w:type="paragraph" w:customStyle="1" w:styleId="Heading3">
    <w:name w:val="Heading 3"/>
    <w:next w:val="Title"/>
    <w:qFormat/>
    <w:rPr>
      <w:color w:val="1F4D78"/>
      <w:sz w:val="24"/>
      <w:szCs w:val="24"/>
    </w:rPr>
  </w:style>
  <w:style w:type="paragraph" w:customStyle="1" w:styleId="Heading4">
    <w:name w:val="Heading 4"/>
    <w:next w:val="Title"/>
    <w:qFormat/>
    <w:rPr>
      <w:i/>
      <w:iCs/>
      <w:color w:val="2E74B5"/>
    </w:rPr>
  </w:style>
  <w:style w:type="paragraph" w:customStyle="1" w:styleId="Heading5">
    <w:name w:val="Heading 5"/>
    <w:next w:val="Title"/>
    <w:qFormat/>
    <w:rPr>
      <w:color w:val="2E74B5"/>
    </w:rPr>
  </w:style>
  <w:style w:type="paragraph" w:customStyle="1" w:styleId="Heading6">
    <w:name w:val="Heading 6"/>
    <w:next w:val="Title"/>
    <w:qFormat/>
    <w:rPr>
      <w:color w:val="1F4D78"/>
    </w:rPr>
  </w:style>
  <w:style w:type="paragraph" w:styleId="Strong">
    <w:name w:val="Strong"/>
    <w:next w:val="Title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auto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uiPriority w:val="99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link w:val="FootnoteText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uiPriority w:val="99"/>
    <w:link w:val="End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link w:val="EndnoteText"/>
    <w:semiHidden/>
    <w:unhideWhenUsed/>
    <w:rPr>
      <w:sz w:val="20"/>
      <w:szCs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Administrator</cp:lastModifiedBy>
  <cp:revision>1</cp:revision>
  <dcterms:modified xsi:type="dcterms:W3CDTF">2026-06-18T01:21:57Z</dcterms:modified>
  <cp:lastPrinted>2026-06-18T01:19:24Z</cp:lastPrinted>
  <cp:version>1200.0100.01</cp:version>
</cp:coreProperties>
</file>