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CCCC"/>
                <w:sz w:val="18"/>
                <w:szCs w:val="18"/>
              </w:rPr>
              <w:t xml:space="preserve">B영역. 환경 및 안전  |  B1. 시설안전관리  |  B2. 소방안전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4단계 대응매뉴얼  ·  야간행동요령  ·  대피훈련 연 2회  ·  비상연락망 완비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8"/>
          <w:szCs w:val="48"/>
        </w:rPr>
        <w:t xml:space="preserve">산불예방 및 대응관리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C00000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1단계 관심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2단계 주의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3단계 경계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기상특보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화기사용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비상물품 준비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창문 폐쇄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외출 제한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차량 대기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대피 개시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역할 분담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전기·가스 차단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4단계 심각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야간 행동요령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대피훈련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즉시 차량대피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안전지역 이동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인원점검·보고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119 즉시 신고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전원 기상 조치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1명씩 이동 유도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연 2회 이상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상황전파·탑승훈련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훈련기록 완비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2026-06-14T07:55:57.059Z</dcterms:created>
  <dcterms:modified xsi:type="dcterms:W3CDTF">2026-06-14T07:55:57.059Z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