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D영역. 이용자의 권리  |  A3. 직원의 역량강화  |  B영역. 환경 및 안전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예방 중심·안정 보호 중심  —  5가지 위기행동 유형별 맞춤 대응체계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6"/>
          <w:szCs w:val="26"/>
        </w:rPr>
        <w:t xml:space="preserve">착한목자의집  초중증 발달장애인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8"/>
          <w:szCs w:val="48"/>
        </w:rPr>
        <w:t xml:space="preserve">개별 위기행동 대응지침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6"/>
          <w:szCs w:val="26"/>
        </w:rPr>
        <w:t xml:space="preserve">예방 중심 · 안정 보호 중심 돌봄체계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돌발행동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자해행동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이탈행동 대응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침착하게 접근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위험물품 제거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주변 이용인 보호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보호도구 활용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자극 최소화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진정 후 관찰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즉시 인원점검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주변 수색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경찰 협조 요청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고집·떼쓰기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폭력행동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추진 방안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감정적 대응 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대체활동 제시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충분한 시간 제공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안전거리 확보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이용인 보호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사후 사례회의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개별 관리카드 작성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월 1회 사례회의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연 2회 교육·훈련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2026-06-16T08:00:24.000Z</dcterms:created>
  <dcterms:modified xsi:type="dcterms:W3CDTF">2026-06-16T08:00:24.000Z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