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6"/>
          <w:szCs w:val="26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2"/>
          <w:szCs w:val="32"/>
        </w:rPr>
        <w:t xml:space="preserve">2026년 입소장애인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고유가 피해지원금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8"/>
          <w:szCs w:val="38"/>
        </w:rPr>
        <w:t xml:space="preserve">사용 결과보고서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spacing w:after="14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입소장애인 고유가 피해지원금 지원사업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4월 27일 ~ 2026년 6월 20일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지  원  대  상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착한목자의집 입소장애인 4명 (정상권, 이승원, 최윤기, 박은성)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지  원  금  규  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총 2,400,000원 (1인당 600,000원 지원)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추진목적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고물가와 에너지 가격 상승으로 경제적 부담이 증가하는 상황에서 초중증 지적·발달장애인의 건강한 생활을 지원하고 삶의 질 향상을 도모하고자 한다.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또한 단순 생계지원을 넘어 영양관리, 특별급식, 의료지원, 생일축하 행사, 지역사회 체험활동 등을 통하여 가정과 같은 행복한 공동생활 환경을 조성하는 데 목적이 있다.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수입 현황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구분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금액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정상권 지원금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600,000원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이승원 지원금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600,000원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최윤기 지원금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600,000원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박은성 지원금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600,000원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합  계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2,400,000원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지출 현황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분야별 집행현황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구분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금액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식생활 및 특별급식 지원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935,810원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과일 및 간식 지원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457,100원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지역사회적응훈련 및 체험활동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488,500원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외부행사 운영지원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334,040원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생일축하 지원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252,250원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의료 및 건강관리 지원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178,300원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합  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2,400,000원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사업추진 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90"/>
              <w:bottom w:type="dxa" w:w="8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① 건강증진 효과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90"/>
              <w:bottom w:type="dxa" w:w="8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② 정서안정 효과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90"/>
              <w:bottom w:type="dxa" w:w="8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③ 사회성 향상 효과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90"/>
              <w:bottom w:type="dxa" w:w="8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④ 의료서비스 향상</w:t>
            </w:r>
          </w:p>
        </w:tc>
      </w:tr>
      <w:tr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다양한 특별급식 지원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영양 불균형 해소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면역력 강화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• 계절성 질환 예방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생일축하 행사를 통한 자존감 향상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행복감 증대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• 심리적 안정감 형성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식당 및 카페 방문 경험 확대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공공시설 이용 능력 향상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• 사회적응 능력 증진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적기 진료 실시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건강 악화 예방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• 질병 조기 발견 및 관리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예산절감 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고유가 피해지원금을 활용하여 시설 자체 운영예산을 상당 부분 절감하는 효과를 거두었다.</w:t>
      </w:r>
    </w:p>
    <w:p>
      <w:pPr>
        <w:spacing w:after="5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절감효과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분야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절감액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식생활 지원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약 139만원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체험활동 지원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약 49만원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생일축하 지원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약 25만원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의료지원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약 18만원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총 예산절감 효과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약 240만 원의 시설 자체예산 절감 효과 발생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이를 통해 시설 운영예산을 안전관리, 환경개선 및 긴급 상황 대응 재원으로 활용할 수 있는 기반을 마련하였다.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7. 사업성과 및 평가보고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이번 고유가 피해지원금은 단순한 현금 지원사업이 아니라 초중증 발달장애인의 행복한 일상생활을 직접 지원하는 매우 실질적인 복지사업으로 운영되었다.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특히 보호자의 돌봄 공백이 있는 입소장애인들에게 건강한 식생활, 다양한 체험활동, 의료서비스 및 정서적 지지를 제공함으로써 삶의 만족도를 크게 향상시키는 성과를 거두었다.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또한 지원금 전액을 목적에 맞게 투명하게 사용하였으며, 입소장애인 중심의 맞춤형 복지서비스를 확대하는 계기가 되었다.</w:t>
      </w:r>
    </w:p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종합평가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수입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9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지출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9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잔액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2"/>
                <w:szCs w:val="22"/>
              </w:rPr>
              <w:t xml:space="preserve">2,400,000원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2"/>
                <w:szCs w:val="22"/>
              </w:rPr>
              <w:t xml:space="preserve">2,400,000원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2"/>
                <w:szCs w:val="22"/>
              </w:rPr>
              <w:t xml:space="preserve">0원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전액 집행 완료 — 향후 운영 계획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수입 2,400,000원, 지출 2,400,000원, 잔액 0원으로 전액 집행 완료하였다.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앞으로도 지원금은 단순 소비가 아닌 입소장애인의 건강, 안전, 행복, 사회참여를 위한 실질적인 복지사업으로 운영해 나갈 계획이다.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6월 20일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2026-06-20T02:09:31.455Z</dcterms:created>
  <dcterms:modified xsi:type="dcterms:W3CDTF">2026-06-20T02:09:31.484Z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