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B영역. 환경 및 안전  |  B1. 시설안전관리  |  B2. 소방안전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소방·감염병·산불·지진·생활안전·응급대응  —  5개 분야 통합 안전관리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60"/>
          <w:szCs w:val="60"/>
        </w:rPr>
        <w:t xml:space="preserve">안전관리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0"/>
          <w:szCs w:val="40"/>
        </w:rPr>
        <w:t xml:space="preserve">사  업  계  획  서</w:t>
      </w:r>
    </w:p>
    <w:p>
      <w:pPr>
        <w:pBdr>
          <w:bottom w:val="single" w:color="1F4E79" w:sz="10" w:space="1"/>
        </w:pBdr>
        <w:spacing w:after="2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소방안전관리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감염병 예방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산불·재난대응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화재대피 연 2회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야간훈련 연 1회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소화기·통로 점검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체온체크 매일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소독 주 1회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예방교육 수시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재난문자 상시확인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비상물품 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긴급대피 체계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지진·응급대응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생활·시설안전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안전교육·훈련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지진대피 연 1회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응급처치교육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비상연락망 유지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욕실·주방 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낙상예방 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전기·가스 안전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종사자 반복교육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입소인 시범훈련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기록 완비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2026-06-12T11:22:36.770Z</dcterms:created>
  <dcterms:modified xsi:type="dcterms:W3CDTF">2026-06-12T11:22:36.771Z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