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사업기간: 2026.4.27 ~ 2026.6.20  |  지원금 2,400,000원 (1인당 600,000원)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전액 집행 완료  —  입소장애인 4명 건강·안전·행복 지원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2026년 입소장애인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8"/>
          <w:szCs w:val="48"/>
        </w:rPr>
        <w:t xml:space="preserve">고유가 피해지원금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사  용  결  과  보  고  서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지원대상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지출내역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추가지출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정상권 600,000원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이승원 600,000원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최윤기·박은성 각 600,000원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식생활·특별급식 935,810원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과일·간식 457,100원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체험활동 488,500원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외부행사 334,040원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생일축하 252,250원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의료·건강관리 178,300원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건강증진 효과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예산절감 효과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종합평가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영양 불균형 해소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면역력 강화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질환 예방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약 240만원 절감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안전관리 재원 확보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환경개선 기반 마련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전액 집행 완료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수입=지출, 잔액 0원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맞춤형 복지서비스 확대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2026-06-20T02:09:31.639Z</dcterms:created>
  <dcterms:modified xsi:type="dcterms:W3CDTF">2026-06-20T02:09:31.639Z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